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6344D" w14:textId="094D8EAA" w:rsidR="00187114" w:rsidRPr="00A92BDC" w:rsidRDefault="00B24351" w:rsidP="00187114">
      <w:pPr>
        <w:rPr>
          <w:rFonts w:ascii="IPT Nazanin" w:hAnsi="IPT Nazanin" w:cs="B Nazanin"/>
          <w:b/>
          <w:bCs/>
          <w:sz w:val="26"/>
          <w:szCs w:val="26"/>
          <w:rtl/>
        </w:rPr>
      </w:pPr>
      <w:r>
        <w:rPr>
          <w:rFonts w:ascii="IPT Nazanin" w:hAnsi="IPT Nazanin" w:cs="B Nazanin"/>
          <w:b/>
          <w:bCs/>
          <w:sz w:val="28"/>
          <w:szCs w:val="28"/>
        </w:rPr>
        <w:t></w:t>
      </w:r>
      <w:r w:rsidR="00187114" w:rsidRPr="00A92BDC">
        <w:rPr>
          <w:rFonts w:ascii="IPT Nazanin" w:hAnsi="IPT Nazanin" w:cs="B Nazanin"/>
          <w:b/>
          <w:bCs/>
          <w:sz w:val="26"/>
          <w:szCs w:val="26"/>
          <w:rtl/>
        </w:rPr>
        <w:t>- ارزیابی شاخص‌های عملکردی بخش معادن شهرستان نطنز</w:t>
      </w:r>
      <w:r w:rsidR="00D435F7">
        <w:rPr>
          <w:rFonts w:ascii="IPT Nazanin" w:hAnsi="IPT Nazanin" w:cs="B Nazanin"/>
          <w:b/>
          <w:bCs/>
          <w:sz w:val="26"/>
          <w:szCs w:val="26"/>
        </w:rPr>
        <w:t></w:t>
      </w:r>
    </w:p>
    <w:p w14:paraId="63A16B40"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t>جدول 1: شاخص</w:t>
      </w:r>
      <w:r w:rsidRPr="00A92BDC">
        <w:rPr>
          <w:rFonts w:ascii="IPT Nazanin" w:hAnsi="IPT Nazanin" w:cs="B Nazanin"/>
          <w:sz w:val="24"/>
          <w:szCs w:val="24"/>
          <w:rtl/>
        </w:rPr>
        <w:softHyphen/>
        <w:t>های ارزیابی عملکرد بخش معادن شهرستان</w:t>
      </w:r>
    </w:p>
    <w:tbl>
      <w:tblPr>
        <w:bidiVisual/>
        <w:tblW w:w="8924" w:type="dxa"/>
        <w:jc w:val="center"/>
        <w:tblLook w:val="04A0" w:firstRow="1" w:lastRow="0" w:firstColumn="1" w:lastColumn="0" w:noHBand="0" w:noVBand="1"/>
      </w:tblPr>
      <w:tblGrid>
        <w:gridCol w:w="2392"/>
        <w:gridCol w:w="6532"/>
      </w:tblGrid>
      <w:tr w:rsidR="00187114" w:rsidRPr="00A92BDC" w14:paraId="50DE5292" w14:textId="77777777" w:rsidTr="00086FFD">
        <w:trPr>
          <w:trHeight w:val="623"/>
          <w:jc w:val="center"/>
        </w:trPr>
        <w:tc>
          <w:tcPr>
            <w:tcW w:w="239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29C6B10" w14:textId="77777777" w:rsidR="00187114" w:rsidRPr="00A92BDC" w:rsidRDefault="00187114" w:rsidP="00086FFD">
            <w:pPr>
              <w:spacing w:after="0" w:line="240" w:lineRule="auto"/>
              <w:jc w:val="center"/>
              <w:rPr>
                <w:rFonts w:ascii="IPT Nazanin" w:eastAsia="Times New Roman" w:hAnsi="IPT Nazanin" w:cs="B Nazanin"/>
                <w:b/>
                <w:bCs/>
                <w:color w:val="262626"/>
              </w:rPr>
            </w:pPr>
            <w:r w:rsidRPr="00A92BDC">
              <w:rPr>
                <w:rFonts w:ascii="IPT Nazanin" w:eastAsia="Times New Roman" w:hAnsi="IPT Nazanin" w:cs="B Nazanin"/>
                <w:b/>
                <w:bCs/>
                <w:color w:val="262626"/>
                <w:rtl/>
              </w:rPr>
              <w:t>بخش</w:t>
            </w:r>
          </w:p>
        </w:tc>
        <w:tc>
          <w:tcPr>
            <w:tcW w:w="653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5C42579" w14:textId="77777777" w:rsidR="00187114" w:rsidRPr="00A92BDC" w:rsidRDefault="00187114"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شاخص</w:t>
            </w:r>
          </w:p>
        </w:tc>
      </w:tr>
      <w:tr w:rsidR="00187114" w:rsidRPr="00A92BDC" w14:paraId="695314B0" w14:textId="77777777" w:rsidTr="00086FFD">
        <w:trPr>
          <w:trHeight w:val="567"/>
          <w:jc w:val="center"/>
        </w:trPr>
        <w:tc>
          <w:tcPr>
            <w:tcW w:w="2392" w:type="dxa"/>
            <w:vMerge w:val="restart"/>
            <w:tcBorders>
              <w:top w:val="nil"/>
              <w:left w:val="single" w:sz="4" w:space="0" w:color="auto"/>
              <w:bottom w:val="single" w:sz="4" w:space="0" w:color="000000"/>
              <w:right w:val="single" w:sz="4" w:space="0" w:color="auto"/>
            </w:tcBorders>
            <w:shd w:val="clear" w:color="000000" w:fill="BDD7EE"/>
            <w:vAlign w:val="center"/>
            <w:hideMark/>
          </w:tcPr>
          <w:p w14:paraId="7C128D0B" w14:textId="77777777" w:rsidR="00187114" w:rsidRPr="00A92BDC" w:rsidRDefault="00187114"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شاخص‌های عمومی</w:t>
            </w:r>
          </w:p>
        </w:tc>
        <w:tc>
          <w:tcPr>
            <w:tcW w:w="6532" w:type="dxa"/>
            <w:tcBorders>
              <w:top w:val="nil"/>
              <w:left w:val="single" w:sz="4" w:space="0" w:color="auto"/>
              <w:bottom w:val="single" w:sz="4" w:space="0" w:color="auto"/>
              <w:right w:val="single" w:sz="4" w:space="0" w:color="auto"/>
            </w:tcBorders>
            <w:shd w:val="clear" w:color="000000" w:fill="FFFFFF"/>
            <w:vAlign w:val="center"/>
            <w:hideMark/>
          </w:tcPr>
          <w:p w14:paraId="6EB9CF50" w14:textId="77777777" w:rsidR="00187114" w:rsidRPr="00A92BDC" w:rsidRDefault="00187114" w:rsidP="00086FFD">
            <w:pPr>
              <w:spacing w:after="0" w:line="240" w:lineRule="auto"/>
              <w:jc w:val="center"/>
              <w:rPr>
                <w:rFonts w:ascii="IPT Nazanin" w:eastAsia="Times New Roman" w:hAnsi="IPT Nazanin" w:cs="B Nazanin"/>
                <w:color w:val="000000"/>
                <w:rtl/>
              </w:rPr>
            </w:pPr>
            <w:r w:rsidRPr="00A92BDC">
              <w:rPr>
                <w:rFonts w:ascii="IPT Nazanin" w:eastAsia="Times New Roman" w:hAnsi="IPT Nazanin" w:cs="B Nazanin"/>
                <w:color w:val="000000"/>
                <w:rtl/>
              </w:rPr>
              <w:t>تعداد معادن در حال بهره برداری</w:t>
            </w:r>
          </w:p>
        </w:tc>
      </w:tr>
      <w:tr w:rsidR="00187114" w:rsidRPr="00A92BDC" w14:paraId="0B216C34" w14:textId="77777777" w:rsidTr="00086FFD">
        <w:trPr>
          <w:trHeight w:val="567"/>
          <w:jc w:val="center"/>
        </w:trPr>
        <w:tc>
          <w:tcPr>
            <w:tcW w:w="2392" w:type="dxa"/>
            <w:vMerge/>
            <w:tcBorders>
              <w:top w:val="nil"/>
              <w:left w:val="single" w:sz="4" w:space="0" w:color="auto"/>
              <w:bottom w:val="single" w:sz="4" w:space="0" w:color="000000"/>
              <w:right w:val="single" w:sz="4" w:space="0" w:color="auto"/>
            </w:tcBorders>
            <w:vAlign w:val="center"/>
            <w:hideMark/>
          </w:tcPr>
          <w:p w14:paraId="334DA20B" w14:textId="77777777" w:rsidR="00187114" w:rsidRPr="00A92BDC" w:rsidRDefault="00187114" w:rsidP="00086FFD">
            <w:pPr>
              <w:spacing w:after="0" w:line="240" w:lineRule="auto"/>
              <w:rPr>
                <w:rFonts w:ascii="IPT Nazanin" w:eastAsia="Times New Roman" w:hAnsi="IPT Nazanin" w:cs="B Nazanin"/>
                <w:b/>
                <w:bCs/>
                <w:color w:val="262626"/>
              </w:rPr>
            </w:pPr>
          </w:p>
        </w:tc>
        <w:tc>
          <w:tcPr>
            <w:tcW w:w="6532" w:type="dxa"/>
            <w:tcBorders>
              <w:top w:val="nil"/>
              <w:left w:val="single" w:sz="4" w:space="0" w:color="auto"/>
              <w:bottom w:val="single" w:sz="4" w:space="0" w:color="auto"/>
              <w:right w:val="single" w:sz="4" w:space="0" w:color="auto"/>
            </w:tcBorders>
            <w:shd w:val="clear" w:color="000000" w:fill="F3F7FB"/>
            <w:vAlign w:val="center"/>
            <w:hideMark/>
          </w:tcPr>
          <w:p w14:paraId="444E4E5F" w14:textId="77777777" w:rsidR="00187114" w:rsidRPr="00A92BDC" w:rsidRDefault="00187114" w:rsidP="00086FFD">
            <w:pPr>
              <w:spacing w:after="0" w:line="240" w:lineRule="auto"/>
              <w:jc w:val="center"/>
              <w:rPr>
                <w:rFonts w:ascii="IPT Nazanin" w:eastAsia="Times New Roman" w:hAnsi="IPT Nazanin" w:cs="B Nazanin"/>
                <w:color w:val="000000"/>
                <w:rtl/>
              </w:rPr>
            </w:pPr>
            <w:r w:rsidRPr="00A92BDC">
              <w:rPr>
                <w:rFonts w:ascii="IPT Nazanin" w:eastAsia="Times New Roman" w:hAnsi="IPT Nazanin" w:cs="B Nazanin"/>
                <w:color w:val="000000"/>
                <w:rtl/>
              </w:rPr>
              <w:t>تعداد شرکت‌های تعاونی معدنی فعال</w:t>
            </w:r>
          </w:p>
        </w:tc>
      </w:tr>
      <w:tr w:rsidR="00187114" w:rsidRPr="00A92BDC" w14:paraId="2A1008F4" w14:textId="77777777" w:rsidTr="00086FFD">
        <w:trPr>
          <w:trHeight w:val="567"/>
          <w:jc w:val="center"/>
        </w:trPr>
        <w:tc>
          <w:tcPr>
            <w:tcW w:w="2392" w:type="dxa"/>
            <w:vMerge/>
            <w:tcBorders>
              <w:top w:val="nil"/>
              <w:left w:val="single" w:sz="4" w:space="0" w:color="auto"/>
              <w:bottom w:val="single" w:sz="4" w:space="0" w:color="000000"/>
              <w:right w:val="single" w:sz="4" w:space="0" w:color="auto"/>
            </w:tcBorders>
            <w:vAlign w:val="center"/>
            <w:hideMark/>
          </w:tcPr>
          <w:p w14:paraId="1C40CAA1" w14:textId="77777777" w:rsidR="00187114" w:rsidRPr="00A92BDC" w:rsidRDefault="00187114" w:rsidP="00086FFD">
            <w:pPr>
              <w:spacing w:after="0" w:line="240" w:lineRule="auto"/>
              <w:rPr>
                <w:rFonts w:ascii="IPT Nazanin" w:eastAsia="Times New Roman" w:hAnsi="IPT Nazanin" w:cs="B Nazanin"/>
                <w:b/>
                <w:bCs/>
                <w:color w:val="262626"/>
              </w:rPr>
            </w:pPr>
          </w:p>
        </w:tc>
        <w:tc>
          <w:tcPr>
            <w:tcW w:w="6532" w:type="dxa"/>
            <w:tcBorders>
              <w:top w:val="nil"/>
              <w:left w:val="single" w:sz="4" w:space="0" w:color="auto"/>
              <w:bottom w:val="single" w:sz="4" w:space="0" w:color="auto"/>
              <w:right w:val="single" w:sz="4" w:space="0" w:color="auto"/>
            </w:tcBorders>
            <w:shd w:val="clear" w:color="000000" w:fill="FFFFFF"/>
            <w:vAlign w:val="center"/>
            <w:hideMark/>
          </w:tcPr>
          <w:p w14:paraId="7CAA3DC1" w14:textId="77777777" w:rsidR="00187114" w:rsidRPr="00A92BDC" w:rsidRDefault="00187114" w:rsidP="00086FFD">
            <w:pPr>
              <w:spacing w:after="0" w:line="240" w:lineRule="auto"/>
              <w:jc w:val="center"/>
              <w:rPr>
                <w:rFonts w:ascii="IPT Nazanin" w:eastAsia="Times New Roman" w:hAnsi="IPT Nazanin" w:cs="B Nazanin"/>
                <w:color w:val="000000"/>
                <w:rtl/>
              </w:rPr>
            </w:pPr>
            <w:r w:rsidRPr="00A92BDC">
              <w:rPr>
                <w:rFonts w:ascii="IPT Nazanin" w:eastAsia="Times New Roman" w:hAnsi="IPT Nazanin" w:cs="B Nazanin"/>
                <w:color w:val="000000"/>
                <w:rtl/>
              </w:rPr>
              <w:t>تعداد اعضای شرکت‌های تعاونی فعال</w:t>
            </w:r>
          </w:p>
        </w:tc>
      </w:tr>
      <w:tr w:rsidR="00187114" w:rsidRPr="00A92BDC" w14:paraId="53451082" w14:textId="77777777" w:rsidTr="00086FFD">
        <w:trPr>
          <w:trHeight w:val="567"/>
          <w:jc w:val="center"/>
        </w:trPr>
        <w:tc>
          <w:tcPr>
            <w:tcW w:w="2392" w:type="dxa"/>
            <w:vMerge/>
            <w:tcBorders>
              <w:top w:val="nil"/>
              <w:left w:val="single" w:sz="4" w:space="0" w:color="auto"/>
              <w:bottom w:val="single" w:sz="4" w:space="0" w:color="000000"/>
              <w:right w:val="single" w:sz="4" w:space="0" w:color="auto"/>
            </w:tcBorders>
            <w:vAlign w:val="center"/>
            <w:hideMark/>
          </w:tcPr>
          <w:p w14:paraId="44344B96" w14:textId="77777777" w:rsidR="00187114" w:rsidRPr="00A92BDC" w:rsidRDefault="00187114" w:rsidP="00086FFD">
            <w:pPr>
              <w:spacing w:after="0" w:line="240" w:lineRule="auto"/>
              <w:rPr>
                <w:rFonts w:ascii="IPT Nazanin" w:eastAsia="Times New Roman" w:hAnsi="IPT Nazanin" w:cs="B Nazanin"/>
                <w:b/>
                <w:bCs/>
                <w:color w:val="262626"/>
              </w:rPr>
            </w:pPr>
          </w:p>
        </w:tc>
        <w:tc>
          <w:tcPr>
            <w:tcW w:w="6532" w:type="dxa"/>
            <w:tcBorders>
              <w:top w:val="nil"/>
              <w:left w:val="single" w:sz="4" w:space="0" w:color="auto"/>
              <w:bottom w:val="single" w:sz="4" w:space="0" w:color="auto"/>
              <w:right w:val="single" w:sz="4" w:space="0" w:color="auto"/>
            </w:tcBorders>
            <w:shd w:val="clear" w:color="000000" w:fill="F3F7FB"/>
            <w:vAlign w:val="center"/>
            <w:hideMark/>
          </w:tcPr>
          <w:p w14:paraId="25449641" w14:textId="77777777" w:rsidR="00187114" w:rsidRPr="00A92BDC" w:rsidRDefault="00187114" w:rsidP="00086FFD">
            <w:pPr>
              <w:spacing w:after="0" w:line="240" w:lineRule="auto"/>
              <w:jc w:val="center"/>
              <w:rPr>
                <w:rFonts w:ascii="IPT Nazanin" w:eastAsia="Times New Roman" w:hAnsi="IPT Nazanin" w:cs="B Nazanin"/>
                <w:color w:val="000000"/>
                <w:rtl/>
              </w:rPr>
            </w:pPr>
            <w:r w:rsidRPr="00A92BDC">
              <w:rPr>
                <w:rFonts w:ascii="IPT Nazanin" w:eastAsia="Times New Roman" w:hAnsi="IPT Nazanin" w:cs="B Nazanin"/>
                <w:color w:val="000000"/>
                <w:rtl/>
              </w:rPr>
              <w:t>تعداد شاغلین شرکت‌های تعاونی معدنی فعال</w:t>
            </w:r>
          </w:p>
        </w:tc>
      </w:tr>
      <w:tr w:rsidR="00187114" w:rsidRPr="00A92BDC" w14:paraId="3438997C" w14:textId="77777777" w:rsidTr="00086FFD">
        <w:trPr>
          <w:trHeight w:val="567"/>
          <w:jc w:val="center"/>
        </w:trPr>
        <w:tc>
          <w:tcPr>
            <w:tcW w:w="2392" w:type="dxa"/>
            <w:vMerge/>
            <w:tcBorders>
              <w:top w:val="nil"/>
              <w:left w:val="single" w:sz="4" w:space="0" w:color="auto"/>
              <w:bottom w:val="single" w:sz="4" w:space="0" w:color="000000"/>
              <w:right w:val="single" w:sz="4" w:space="0" w:color="auto"/>
            </w:tcBorders>
            <w:vAlign w:val="center"/>
            <w:hideMark/>
          </w:tcPr>
          <w:p w14:paraId="1B971D5A" w14:textId="77777777" w:rsidR="00187114" w:rsidRPr="00A92BDC" w:rsidRDefault="00187114" w:rsidP="00086FFD">
            <w:pPr>
              <w:spacing w:after="0" w:line="240" w:lineRule="auto"/>
              <w:rPr>
                <w:rFonts w:ascii="IPT Nazanin" w:eastAsia="Times New Roman" w:hAnsi="IPT Nazanin" w:cs="B Nazanin"/>
                <w:b/>
                <w:bCs/>
                <w:color w:val="262626"/>
              </w:rPr>
            </w:pPr>
          </w:p>
        </w:tc>
        <w:tc>
          <w:tcPr>
            <w:tcW w:w="6532" w:type="dxa"/>
            <w:tcBorders>
              <w:top w:val="nil"/>
              <w:left w:val="single" w:sz="4" w:space="0" w:color="auto"/>
              <w:bottom w:val="single" w:sz="4" w:space="0" w:color="auto"/>
              <w:right w:val="single" w:sz="4" w:space="0" w:color="auto"/>
            </w:tcBorders>
            <w:shd w:val="clear" w:color="000000" w:fill="FFFFFF"/>
            <w:vAlign w:val="center"/>
            <w:hideMark/>
          </w:tcPr>
          <w:p w14:paraId="0F4DBC2C" w14:textId="77777777" w:rsidR="00187114" w:rsidRPr="00A92BDC" w:rsidRDefault="00187114" w:rsidP="00086FFD">
            <w:pPr>
              <w:spacing w:after="0" w:line="240" w:lineRule="auto"/>
              <w:jc w:val="center"/>
              <w:rPr>
                <w:rFonts w:ascii="IPT Nazanin" w:eastAsia="Times New Roman" w:hAnsi="IPT Nazanin" w:cs="B Nazanin"/>
                <w:color w:val="000000"/>
                <w:rtl/>
              </w:rPr>
            </w:pPr>
            <w:r w:rsidRPr="00A92BDC">
              <w:rPr>
                <w:rFonts w:ascii="IPT Nazanin" w:eastAsia="Times New Roman" w:hAnsi="IPT Nazanin" w:cs="B Nazanin"/>
                <w:color w:val="000000"/>
                <w:rtl/>
              </w:rPr>
              <w:t>سرمایه شرکت‌های تعاونی معدنی فعال</w:t>
            </w:r>
          </w:p>
        </w:tc>
      </w:tr>
      <w:tr w:rsidR="00187114" w:rsidRPr="00A92BDC" w14:paraId="48EAD661" w14:textId="77777777" w:rsidTr="00086FFD">
        <w:trPr>
          <w:trHeight w:val="503"/>
          <w:jc w:val="center"/>
        </w:trPr>
        <w:tc>
          <w:tcPr>
            <w:tcW w:w="2392" w:type="dxa"/>
            <w:tcBorders>
              <w:top w:val="nil"/>
              <w:left w:val="single" w:sz="4" w:space="0" w:color="auto"/>
              <w:bottom w:val="single" w:sz="4" w:space="0" w:color="auto"/>
              <w:right w:val="single" w:sz="4" w:space="0" w:color="auto"/>
            </w:tcBorders>
            <w:shd w:val="clear" w:color="000000" w:fill="BDD7EE"/>
            <w:vAlign w:val="center"/>
            <w:hideMark/>
          </w:tcPr>
          <w:p w14:paraId="7A64F80B" w14:textId="77777777" w:rsidR="00187114" w:rsidRPr="00A92BDC" w:rsidRDefault="00187114"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ترکیب دارایی</w:t>
            </w:r>
          </w:p>
        </w:tc>
        <w:tc>
          <w:tcPr>
            <w:tcW w:w="6532" w:type="dxa"/>
            <w:tcBorders>
              <w:top w:val="nil"/>
              <w:left w:val="single" w:sz="4" w:space="0" w:color="auto"/>
              <w:bottom w:val="single" w:sz="4" w:space="0" w:color="auto"/>
              <w:right w:val="single" w:sz="4" w:space="0" w:color="auto"/>
            </w:tcBorders>
            <w:shd w:val="clear" w:color="000000" w:fill="F3F7FB"/>
            <w:vAlign w:val="center"/>
            <w:hideMark/>
          </w:tcPr>
          <w:p w14:paraId="0E8CC193" w14:textId="77777777" w:rsidR="00187114" w:rsidRPr="00A92BDC" w:rsidRDefault="00187114" w:rsidP="00086FFD">
            <w:pPr>
              <w:spacing w:after="0" w:line="240" w:lineRule="auto"/>
              <w:jc w:val="center"/>
              <w:rPr>
                <w:rFonts w:ascii="IPT Nazanin" w:eastAsia="Times New Roman" w:hAnsi="IPT Nazanin" w:cs="B Nazanin"/>
                <w:color w:val="000000"/>
                <w:rtl/>
              </w:rPr>
            </w:pPr>
            <w:r w:rsidRPr="00A92BDC">
              <w:rPr>
                <w:rFonts w:ascii="IPT Nazanin" w:eastAsia="Times New Roman" w:hAnsi="IPT Nazanin" w:cs="B Nazanin"/>
                <w:color w:val="000000"/>
                <w:rtl/>
              </w:rPr>
              <w:t xml:space="preserve">سرمایه‌گذاری(ارزش تغییرات اموال سرمایه‌ای) معادن در حال بهره برداری </w:t>
            </w:r>
          </w:p>
        </w:tc>
      </w:tr>
      <w:tr w:rsidR="00187114" w:rsidRPr="00A92BDC" w14:paraId="73E7F703" w14:textId="77777777" w:rsidTr="00086FFD">
        <w:trPr>
          <w:trHeight w:val="567"/>
          <w:jc w:val="center"/>
        </w:trPr>
        <w:tc>
          <w:tcPr>
            <w:tcW w:w="2392" w:type="dxa"/>
            <w:vMerge w:val="restart"/>
            <w:tcBorders>
              <w:top w:val="nil"/>
              <w:left w:val="single" w:sz="4" w:space="0" w:color="auto"/>
              <w:right w:val="single" w:sz="4" w:space="0" w:color="auto"/>
            </w:tcBorders>
            <w:shd w:val="clear" w:color="000000" w:fill="BDD7EE"/>
            <w:vAlign w:val="center"/>
            <w:hideMark/>
          </w:tcPr>
          <w:p w14:paraId="742F26FE" w14:textId="77777777" w:rsidR="00187114" w:rsidRPr="00A92BDC" w:rsidRDefault="00187114"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مالی</w:t>
            </w:r>
          </w:p>
        </w:tc>
        <w:tc>
          <w:tcPr>
            <w:tcW w:w="6532" w:type="dxa"/>
            <w:tcBorders>
              <w:top w:val="nil"/>
              <w:left w:val="single" w:sz="4" w:space="0" w:color="auto"/>
              <w:bottom w:val="single" w:sz="4" w:space="0" w:color="auto"/>
              <w:right w:val="single" w:sz="4" w:space="0" w:color="auto"/>
            </w:tcBorders>
            <w:shd w:val="clear" w:color="000000" w:fill="FFFFFF"/>
            <w:vAlign w:val="center"/>
            <w:hideMark/>
          </w:tcPr>
          <w:p w14:paraId="4FF7E3B8" w14:textId="77777777" w:rsidR="00187114" w:rsidRPr="00A92BDC" w:rsidRDefault="00187114" w:rsidP="00086FFD">
            <w:pPr>
              <w:spacing w:after="0" w:line="240" w:lineRule="auto"/>
              <w:jc w:val="center"/>
              <w:rPr>
                <w:rFonts w:ascii="IPT Nazanin" w:eastAsia="Times New Roman" w:hAnsi="IPT Nazanin" w:cs="B Nazanin"/>
                <w:color w:val="0D0D0D"/>
                <w:rtl/>
              </w:rPr>
            </w:pPr>
            <w:r w:rsidRPr="00A92BDC">
              <w:rPr>
                <w:rFonts w:ascii="IPT Nazanin" w:eastAsia="Times New Roman" w:hAnsi="IPT Nazanin" w:cs="B Nazanin"/>
                <w:color w:val="0D0D0D"/>
                <w:rtl/>
              </w:rPr>
              <w:t>ارزش پرداختی‌های معادن در حال بهره برداری</w:t>
            </w:r>
          </w:p>
        </w:tc>
      </w:tr>
      <w:tr w:rsidR="00187114" w:rsidRPr="00A92BDC" w14:paraId="73BB3A54" w14:textId="77777777" w:rsidTr="00086FFD">
        <w:trPr>
          <w:trHeight w:val="567"/>
          <w:jc w:val="center"/>
        </w:trPr>
        <w:tc>
          <w:tcPr>
            <w:tcW w:w="2392" w:type="dxa"/>
            <w:vMerge/>
            <w:tcBorders>
              <w:left w:val="single" w:sz="4" w:space="0" w:color="auto"/>
              <w:right w:val="single" w:sz="4" w:space="0" w:color="auto"/>
            </w:tcBorders>
            <w:shd w:val="clear" w:color="000000" w:fill="BDD7EE"/>
            <w:vAlign w:val="center"/>
            <w:hideMark/>
          </w:tcPr>
          <w:p w14:paraId="24FC20E2" w14:textId="77777777" w:rsidR="00187114" w:rsidRPr="00A92BDC" w:rsidRDefault="00187114" w:rsidP="00086FFD">
            <w:pPr>
              <w:spacing w:after="0" w:line="240" w:lineRule="auto"/>
              <w:rPr>
                <w:rFonts w:ascii="IPT Nazanin" w:eastAsia="Times New Roman" w:hAnsi="IPT Nazanin" w:cs="B Nazanin"/>
                <w:b/>
                <w:bCs/>
                <w:color w:val="262626"/>
              </w:rPr>
            </w:pPr>
          </w:p>
        </w:tc>
        <w:tc>
          <w:tcPr>
            <w:tcW w:w="6532" w:type="dxa"/>
            <w:tcBorders>
              <w:top w:val="nil"/>
              <w:left w:val="single" w:sz="4" w:space="0" w:color="auto"/>
              <w:bottom w:val="single" w:sz="4" w:space="0" w:color="auto"/>
              <w:right w:val="single" w:sz="4" w:space="0" w:color="auto"/>
            </w:tcBorders>
            <w:shd w:val="clear" w:color="000000" w:fill="F3F7FB"/>
            <w:vAlign w:val="center"/>
            <w:hideMark/>
          </w:tcPr>
          <w:p w14:paraId="77863C10" w14:textId="77777777" w:rsidR="00187114" w:rsidRPr="00A92BDC" w:rsidRDefault="00187114" w:rsidP="00086FFD">
            <w:pPr>
              <w:spacing w:after="0" w:line="240" w:lineRule="auto"/>
              <w:jc w:val="center"/>
              <w:rPr>
                <w:rFonts w:ascii="IPT Nazanin" w:eastAsia="Times New Roman" w:hAnsi="IPT Nazanin" w:cs="B Nazanin"/>
                <w:color w:val="000000"/>
                <w:rtl/>
              </w:rPr>
            </w:pPr>
            <w:r w:rsidRPr="00A92BDC">
              <w:rPr>
                <w:rFonts w:ascii="IPT Nazanin" w:eastAsia="Times New Roman" w:hAnsi="IPT Nazanin" w:cs="B Nazanin"/>
                <w:color w:val="000000"/>
                <w:rtl/>
              </w:rPr>
              <w:t>ارزش دریافتی‌های معادن در حال بهره برداری</w:t>
            </w:r>
          </w:p>
        </w:tc>
      </w:tr>
      <w:tr w:rsidR="00187114" w:rsidRPr="00A92BDC" w14:paraId="0BDACFEA" w14:textId="77777777" w:rsidTr="00086FFD">
        <w:trPr>
          <w:trHeight w:val="567"/>
          <w:jc w:val="center"/>
        </w:trPr>
        <w:tc>
          <w:tcPr>
            <w:tcW w:w="2392" w:type="dxa"/>
            <w:vMerge/>
            <w:tcBorders>
              <w:left w:val="single" w:sz="4" w:space="0" w:color="auto"/>
              <w:bottom w:val="single" w:sz="4" w:space="0" w:color="000000"/>
              <w:right w:val="single" w:sz="4" w:space="0" w:color="auto"/>
            </w:tcBorders>
            <w:shd w:val="clear" w:color="000000" w:fill="BDD7EE"/>
            <w:vAlign w:val="center"/>
            <w:hideMark/>
          </w:tcPr>
          <w:p w14:paraId="70B9A6EB" w14:textId="77777777" w:rsidR="00187114" w:rsidRPr="00A92BDC" w:rsidRDefault="00187114" w:rsidP="00086FFD">
            <w:pPr>
              <w:spacing w:after="0" w:line="240" w:lineRule="auto"/>
              <w:rPr>
                <w:rFonts w:ascii="IPT Nazanin" w:eastAsia="Times New Roman" w:hAnsi="IPT Nazanin" w:cs="B Nazanin"/>
                <w:b/>
                <w:bCs/>
                <w:color w:val="262626"/>
              </w:rPr>
            </w:pPr>
          </w:p>
        </w:tc>
        <w:tc>
          <w:tcPr>
            <w:tcW w:w="6532" w:type="dxa"/>
            <w:tcBorders>
              <w:top w:val="nil"/>
              <w:left w:val="single" w:sz="4" w:space="0" w:color="auto"/>
              <w:bottom w:val="single" w:sz="4" w:space="0" w:color="auto"/>
              <w:right w:val="single" w:sz="4" w:space="0" w:color="auto"/>
            </w:tcBorders>
            <w:shd w:val="clear" w:color="000000" w:fill="FFFFFF"/>
            <w:vAlign w:val="center"/>
            <w:hideMark/>
          </w:tcPr>
          <w:p w14:paraId="1D456FB2" w14:textId="77777777" w:rsidR="00187114" w:rsidRPr="00A92BDC" w:rsidRDefault="00187114" w:rsidP="00086FFD">
            <w:pPr>
              <w:spacing w:after="0" w:line="240" w:lineRule="auto"/>
              <w:jc w:val="center"/>
              <w:rPr>
                <w:rFonts w:ascii="IPT Nazanin" w:eastAsia="Times New Roman" w:hAnsi="IPT Nazanin" w:cs="B Nazanin"/>
                <w:color w:val="0D0D0D"/>
                <w:rtl/>
              </w:rPr>
            </w:pPr>
            <w:r w:rsidRPr="00A92BDC">
              <w:rPr>
                <w:rFonts w:ascii="IPT Nazanin" w:eastAsia="Times New Roman" w:hAnsi="IPT Nazanin" w:cs="B Nazanin"/>
                <w:color w:val="0D0D0D"/>
                <w:rtl/>
              </w:rPr>
              <w:t>جبران خدمات مزد و حقوق بگیران معادن در حال بهره برداری</w:t>
            </w:r>
          </w:p>
        </w:tc>
      </w:tr>
      <w:tr w:rsidR="00187114" w:rsidRPr="00A92BDC" w14:paraId="368B292B" w14:textId="77777777" w:rsidTr="00086FFD">
        <w:trPr>
          <w:trHeight w:val="521"/>
          <w:jc w:val="center"/>
        </w:trPr>
        <w:tc>
          <w:tcPr>
            <w:tcW w:w="2392" w:type="dxa"/>
            <w:tcBorders>
              <w:top w:val="nil"/>
              <w:left w:val="single" w:sz="4" w:space="0" w:color="auto"/>
              <w:bottom w:val="single" w:sz="4" w:space="0" w:color="000000"/>
              <w:right w:val="single" w:sz="4" w:space="0" w:color="auto"/>
            </w:tcBorders>
            <w:shd w:val="clear" w:color="000000" w:fill="BDD7EE"/>
            <w:vAlign w:val="center"/>
            <w:hideMark/>
          </w:tcPr>
          <w:p w14:paraId="64670C16" w14:textId="77777777" w:rsidR="00187114" w:rsidRPr="00A92BDC" w:rsidRDefault="00187114" w:rsidP="00086FFD">
            <w:pPr>
              <w:spacing w:after="0" w:line="240" w:lineRule="auto"/>
              <w:jc w:val="center"/>
              <w:rPr>
                <w:rFonts w:ascii="IPT Nazanin" w:eastAsia="Times New Roman" w:hAnsi="IPT Nazanin" w:cs="B Nazanin"/>
                <w:b/>
                <w:bCs/>
                <w:color w:val="262626"/>
                <w:highlight w:val="yellow"/>
              </w:rPr>
            </w:pPr>
            <w:r w:rsidRPr="00A92BDC">
              <w:rPr>
                <w:rFonts w:ascii="IPT Nazanin" w:eastAsia="Times New Roman" w:hAnsi="IPT Nazanin" w:cs="B Nazanin"/>
                <w:b/>
                <w:bCs/>
                <w:color w:val="262626"/>
                <w:rtl/>
              </w:rPr>
              <w:t>جمعیت شناسی</w:t>
            </w:r>
          </w:p>
        </w:tc>
        <w:tc>
          <w:tcPr>
            <w:tcW w:w="6532" w:type="dxa"/>
            <w:tcBorders>
              <w:top w:val="nil"/>
              <w:left w:val="single" w:sz="4" w:space="0" w:color="auto"/>
              <w:bottom w:val="single" w:sz="4" w:space="0" w:color="auto"/>
              <w:right w:val="single" w:sz="4" w:space="0" w:color="auto"/>
            </w:tcBorders>
            <w:shd w:val="clear" w:color="000000" w:fill="F3F7FB"/>
            <w:vAlign w:val="center"/>
            <w:hideMark/>
          </w:tcPr>
          <w:p w14:paraId="60479E27" w14:textId="77777777" w:rsidR="00187114" w:rsidRPr="00A92BDC" w:rsidRDefault="00187114" w:rsidP="00086FFD">
            <w:pPr>
              <w:spacing w:after="0" w:line="240" w:lineRule="auto"/>
              <w:jc w:val="center"/>
              <w:rPr>
                <w:rFonts w:ascii="IPT Nazanin" w:eastAsia="Times New Roman" w:hAnsi="IPT Nazanin" w:cs="B Nazanin"/>
                <w:color w:val="000000"/>
                <w:rtl/>
              </w:rPr>
            </w:pPr>
            <w:r w:rsidRPr="00A92BDC">
              <w:rPr>
                <w:rFonts w:ascii="IPT Nazanin" w:eastAsia="Times New Roman" w:hAnsi="IPT Nazanin" w:cs="B Nazanin"/>
                <w:color w:val="000000"/>
                <w:rtl/>
              </w:rPr>
              <w:t>تعداد شاغلین معادن در حال بهره برداری</w:t>
            </w:r>
          </w:p>
        </w:tc>
      </w:tr>
      <w:tr w:rsidR="00187114" w:rsidRPr="00A92BDC" w14:paraId="66900212" w14:textId="77777777" w:rsidTr="00086FFD">
        <w:trPr>
          <w:trHeight w:val="567"/>
          <w:jc w:val="center"/>
        </w:trPr>
        <w:tc>
          <w:tcPr>
            <w:tcW w:w="2392" w:type="dxa"/>
            <w:vMerge w:val="restart"/>
            <w:tcBorders>
              <w:top w:val="nil"/>
              <w:left w:val="single" w:sz="4" w:space="0" w:color="auto"/>
              <w:bottom w:val="single" w:sz="4" w:space="0" w:color="000000"/>
              <w:right w:val="single" w:sz="4" w:space="0" w:color="auto"/>
            </w:tcBorders>
            <w:shd w:val="clear" w:color="000000" w:fill="BDD7EE"/>
            <w:vAlign w:val="center"/>
            <w:hideMark/>
          </w:tcPr>
          <w:p w14:paraId="13B718C9" w14:textId="77777777" w:rsidR="00187114" w:rsidRPr="00A92BDC" w:rsidRDefault="00187114"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تولید</w:t>
            </w:r>
          </w:p>
        </w:tc>
        <w:tc>
          <w:tcPr>
            <w:tcW w:w="6532" w:type="dxa"/>
            <w:tcBorders>
              <w:top w:val="nil"/>
              <w:left w:val="single" w:sz="4" w:space="0" w:color="auto"/>
              <w:bottom w:val="single" w:sz="4" w:space="0" w:color="auto"/>
              <w:right w:val="single" w:sz="4" w:space="0" w:color="auto"/>
            </w:tcBorders>
            <w:shd w:val="clear" w:color="000000" w:fill="FFFFFF"/>
            <w:vAlign w:val="center"/>
            <w:hideMark/>
          </w:tcPr>
          <w:p w14:paraId="723E9967" w14:textId="77777777" w:rsidR="00187114" w:rsidRPr="00A92BDC" w:rsidRDefault="00187114" w:rsidP="00086FFD">
            <w:pPr>
              <w:spacing w:after="0" w:line="240" w:lineRule="auto"/>
              <w:jc w:val="center"/>
              <w:rPr>
                <w:rFonts w:ascii="IPT Nazanin" w:eastAsia="Times New Roman" w:hAnsi="IPT Nazanin" w:cs="B Nazanin"/>
                <w:color w:val="0D0D0D"/>
                <w:rtl/>
              </w:rPr>
            </w:pPr>
            <w:r w:rsidRPr="00A92BDC">
              <w:rPr>
                <w:rFonts w:ascii="IPT Nazanin" w:eastAsia="Times New Roman" w:hAnsi="IPT Nazanin" w:cs="B Nazanin"/>
                <w:color w:val="0D0D0D"/>
                <w:rtl/>
              </w:rPr>
              <w:t>ارزش تولیدات معادن در حال بهره برداری</w:t>
            </w:r>
          </w:p>
        </w:tc>
      </w:tr>
      <w:tr w:rsidR="00187114" w:rsidRPr="00A92BDC" w14:paraId="1BCA4DB4" w14:textId="77777777" w:rsidTr="00086FFD">
        <w:trPr>
          <w:trHeight w:val="567"/>
          <w:jc w:val="center"/>
        </w:trPr>
        <w:tc>
          <w:tcPr>
            <w:tcW w:w="2392" w:type="dxa"/>
            <w:vMerge/>
            <w:tcBorders>
              <w:top w:val="nil"/>
              <w:left w:val="single" w:sz="4" w:space="0" w:color="auto"/>
              <w:bottom w:val="single" w:sz="4" w:space="0" w:color="000000"/>
              <w:right w:val="single" w:sz="4" w:space="0" w:color="auto"/>
            </w:tcBorders>
            <w:vAlign w:val="center"/>
            <w:hideMark/>
          </w:tcPr>
          <w:p w14:paraId="3DAC5DE8" w14:textId="77777777" w:rsidR="00187114" w:rsidRPr="00A92BDC" w:rsidRDefault="00187114" w:rsidP="00086FFD">
            <w:pPr>
              <w:spacing w:after="0" w:line="240" w:lineRule="auto"/>
              <w:rPr>
                <w:rFonts w:ascii="IPT Nazanin" w:eastAsia="Times New Roman" w:hAnsi="IPT Nazanin" w:cs="B Nazanin"/>
                <w:b/>
                <w:bCs/>
                <w:color w:val="262626"/>
              </w:rPr>
            </w:pPr>
          </w:p>
        </w:tc>
        <w:tc>
          <w:tcPr>
            <w:tcW w:w="6532" w:type="dxa"/>
            <w:tcBorders>
              <w:top w:val="nil"/>
              <w:left w:val="single" w:sz="4" w:space="0" w:color="auto"/>
              <w:bottom w:val="single" w:sz="4" w:space="0" w:color="auto"/>
              <w:right w:val="single" w:sz="4" w:space="0" w:color="auto"/>
            </w:tcBorders>
            <w:shd w:val="clear" w:color="000000" w:fill="F3F7FB"/>
            <w:vAlign w:val="center"/>
            <w:hideMark/>
          </w:tcPr>
          <w:p w14:paraId="189B604E" w14:textId="77777777" w:rsidR="00187114" w:rsidRPr="00A92BDC" w:rsidRDefault="00187114" w:rsidP="00086FFD">
            <w:pPr>
              <w:spacing w:after="0" w:line="240" w:lineRule="auto"/>
              <w:jc w:val="center"/>
              <w:rPr>
                <w:rFonts w:ascii="IPT Nazanin" w:eastAsia="Times New Roman" w:hAnsi="IPT Nazanin" w:cs="B Nazanin"/>
                <w:color w:val="000000"/>
                <w:rtl/>
              </w:rPr>
            </w:pPr>
            <w:r w:rsidRPr="00A92BDC">
              <w:rPr>
                <w:rFonts w:ascii="IPT Nazanin" w:eastAsia="Times New Roman" w:hAnsi="IPT Nazanin" w:cs="B Nazanin"/>
                <w:color w:val="000000"/>
                <w:rtl/>
              </w:rPr>
              <w:t>ارزش افزوده معادن در حال بهره برداری</w:t>
            </w:r>
          </w:p>
        </w:tc>
      </w:tr>
    </w:tbl>
    <w:p w14:paraId="3B13C32A" w14:textId="77777777" w:rsidR="00187114" w:rsidRPr="00A92BDC" w:rsidRDefault="00187114" w:rsidP="00187114">
      <w:pPr>
        <w:ind w:left="57"/>
        <w:rPr>
          <w:rFonts w:ascii="IPT Nazanin" w:hAnsi="IPT Nazanin" w:cs="B Nazanin"/>
          <w:sz w:val="28"/>
          <w:szCs w:val="28"/>
          <w:rtl/>
        </w:rPr>
      </w:pPr>
      <w:r w:rsidRPr="00A92BDC">
        <w:rPr>
          <w:rFonts w:ascii="IPT Nazanin" w:hAnsi="IPT Nazanin" w:cs="B Nazanin"/>
          <w:sz w:val="24"/>
          <w:szCs w:val="24"/>
          <w:rtl/>
        </w:rPr>
        <w:t xml:space="preserve">     منبع : سازمان مدیریت و برنامه‌ریزی استان اصفهان </w:t>
      </w:r>
      <w:r w:rsidRPr="00A92BDC">
        <w:rPr>
          <w:rFonts w:ascii="IPT Nazanin" w:hAnsi="IPT Nazanin" w:cs="Times New Roman"/>
          <w:sz w:val="24"/>
          <w:szCs w:val="24"/>
          <w:rtl/>
        </w:rPr>
        <w:t>–</w:t>
      </w:r>
      <w:r w:rsidRPr="00A92BDC">
        <w:rPr>
          <w:rFonts w:ascii="IPT Nazanin" w:hAnsi="IPT Nazanin" w:cs="B Nazanin"/>
          <w:sz w:val="24"/>
          <w:szCs w:val="24"/>
          <w:rtl/>
        </w:rPr>
        <w:t xml:space="preserve"> سالنامه آماری استان</w:t>
      </w:r>
    </w:p>
    <w:p w14:paraId="0032F4C2" w14:textId="77777777" w:rsidR="00187114" w:rsidRPr="00A92BDC" w:rsidRDefault="00187114" w:rsidP="00187114">
      <w:pPr>
        <w:rPr>
          <w:rFonts w:ascii="IPT Nazanin" w:hAnsi="IPT Nazanin" w:cs="B Nazanin"/>
          <w:sz w:val="28"/>
          <w:szCs w:val="28"/>
        </w:rPr>
      </w:pPr>
    </w:p>
    <w:p w14:paraId="3DE4696E" w14:textId="77777777" w:rsidR="00187114" w:rsidRPr="00A92BDC" w:rsidRDefault="00187114" w:rsidP="00187114">
      <w:pPr>
        <w:rPr>
          <w:rFonts w:ascii="IPT Nazanin" w:hAnsi="IPT Nazanin" w:cs="B Nazanin"/>
          <w:sz w:val="28"/>
          <w:szCs w:val="28"/>
        </w:rPr>
      </w:pPr>
    </w:p>
    <w:p w14:paraId="7EAD6837" w14:textId="77777777" w:rsidR="00187114" w:rsidRPr="00A92BDC" w:rsidRDefault="00187114" w:rsidP="00187114">
      <w:pPr>
        <w:rPr>
          <w:rFonts w:ascii="IPT Nazanin" w:hAnsi="IPT Nazanin" w:cs="B Nazanin"/>
          <w:sz w:val="28"/>
          <w:szCs w:val="28"/>
        </w:rPr>
      </w:pPr>
    </w:p>
    <w:p w14:paraId="5D840A9A" w14:textId="77777777" w:rsidR="00187114" w:rsidRPr="00A92BDC" w:rsidRDefault="00187114" w:rsidP="00187114">
      <w:pPr>
        <w:rPr>
          <w:rFonts w:ascii="IPT Nazanin" w:hAnsi="IPT Nazanin" w:cs="B Nazanin"/>
          <w:sz w:val="28"/>
          <w:szCs w:val="28"/>
        </w:rPr>
      </w:pPr>
    </w:p>
    <w:p w14:paraId="2D97A344" w14:textId="77777777" w:rsidR="00187114" w:rsidRDefault="00187114" w:rsidP="00187114">
      <w:pPr>
        <w:rPr>
          <w:rFonts w:ascii="IPT Nazanin" w:hAnsi="IPT Nazanin" w:cs="B Nazanin"/>
          <w:sz w:val="28"/>
          <w:szCs w:val="28"/>
        </w:rPr>
      </w:pPr>
    </w:p>
    <w:p w14:paraId="2D5F4211" w14:textId="77777777" w:rsidR="00B24351" w:rsidRPr="00A92BDC" w:rsidRDefault="00B24351" w:rsidP="00187114">
      <w:pPr>
        <w:rPr>
          <w:rFonts w:ascii="IPT Nazanin" w:hAnsi="IPT Nazanin" w:cs="B Nazanin"/>
          <w:sz w:val="28"/>
          <w:szCs w:val="28"/>
          <w:rtl/>
        </w:rPr>
      </w:pPr>
    </w:p>
    <w:p w14:paraId="3A766243" w14:textId="77777777" w:rsidR="00187114" w:rsidRPr="00A92BDC" w:rsidRDefault="00187114" w:rsidP="00187114">
      <w:pPr>
        <w:rPr>
          <w:rFonts w:ascii="IPT Nazanin" w:hAnsi="IPT Nazanin" w:cs="B Nazanin"/>
          <w:b/>
          <w:bCs/>
          <w:sz w:val="26"/>
          <w:szCs w:val="26"/>
          <w:rtl/>
        </w:rPr>
      </w:pPr>
      <w:r w:rsidRPr="00A92BDC">
        <w:rPr>
          <w:rFonts w:ascii="IPT Nazanin" w:hAnsi="IPT Nazanin" w:cs="B Nazanin"/>
          <w:b/>
          <w:bCs/>
          <w:sz w:val="26"/>
          <w:szCs w:val="26"/>
          <w:rtl/>
        </w:rPr>
        <w:lastRenderedPageBreak/>
        <w:t>1-1- بخش عمومی</w:t>
      </w:r>
    </w:p>
    <w:p w14:paraId="44E54CBC" w14:textId="6C7D74B0" w:rsidR="00187114" w:rsidRPr="00610B67" w:rsidRDefault="00187114" w:rsidP="00610B67">
      <w:pPr>
        <w:jc w:val="center"/>
        <w:rPr>
          <w:rFonts w:ascii="IPT Nazanin" w:hAnsi="IPT Nazanin" w:cs="B Nazanin"/>
          <w:sz w:val="32"/>
          <w:szCs w:val="32"/>
        </w:rPr>
      </w:pPr>
      <w:r w:rsidRPr="00A92BDC">
        <w:rPr>
          <w:rFonts w:ascii="IPT Nazanin" w:hAnsi="IPT Nazanin" w:cs="B Nazanin"/>
          <w:sz w:val="24"/>
          <w:szCs w:val="24"/>
          <w:rtl/>
        </w:rPr>
        <w:t>جدول(1-1): اطلاعات مربوط به شاخص</w:t>
      </w:r>
      <w:r w:rsidRPr="00A92BDC">
        <w:rPr>
          <w:rFonts w:ascii="IPT Nazanin" w:hAnsi="IPT Nazanin" w:cs="B Nazanin"/>
          <w:sz w:val="24"/>
          <w:szCs w:val="24"/>
          <w:rtl/>
        </w:rPr>
        <w:softHyphen/>
        <w:t xml:space="preserve">‌های بخش عمومی </w:t>
      </w:r>
    </w:p>
    <w:tbl>
      <w:tblPr>
        <w:bidiVisual/>
        <w:tblW w:w="9293" w:type="dxa"/>
        <w:tblLook w:val="04A0" w:firstRow="1" w:lastRow="0" w:firstColumn="1" w:lastColumn="0" w:noHBand="0" w:noVBand="1"/>
      </w:tblPr>
      <w:tblGrid>
        <w:gridCol w:w="2223"/>
        <w:gridCol w:w="782"/>
        <w:gridCol w:w="1254"/>
        <w:gridCol w:w="1255"/>
        <w:gridCol w:w="1253"/>
        <w:gridCol w:w="1255"/>
        <w:gridCol w:w="1271"/>
      </w:tblGrid>
      <w:tr w:rsidR="00610B67" w:rsidRPr="00610B67" w14:paraId="3A89B95B" w14:textId="77777777" w:rsidTr="00610B67">
        <w:trPr>
          <w:trHeight w:val="226"/>
        </w:trPr>
        <w:tc>
          <w:tcPr>
            <w:tcW w:w="237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C99C5EF" w14:textId="77777777" w:rsidR="00610B67" w:rsidRPr="00610B67" w:rsidRDefault="00610B67" w:rsidP="00610B67">
            <w:pPr>
              <w:spacing w:after="0" w:line="240" w:lineRule="auto"/>
              <w:jc w:val="center"/>
              <w:rPr>
                <w:rFonts w:ascii="Calibri" w:eastAsia="Times New Roman" w:hAnsi="Calibri" w:cs="B Nazanin"/>
                <w:b/>
                <w:bCs/>
                <w:color w:val="262626"/>
                <w:lang w:bidi="ar-SA"/>
              </w:rPr>
            </w:pPr>
            <w:r w:rsidRPr="00610B67">
              <w:rPr>
                <w:rFonts w:ascii="Calibri" w:eastAsia="Times New Roman" w:hAnsi="Calibri" w:cs="B Nazanin" w:hint="cs"/>
                <w:b/>
                <w:bCs/>
                <w:color w:val="262626"/>
                <w:rtl/>
                <w:lang w:bidi="ar-SA"/>
              </w:rPr>
              <w:t>شاخص</w:t>
            </w:r>
          </w:p>
        </w:tc>
        <w:tc>
          <w:tcPr>
            <w:tcW w:w="28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24B452E"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معیار سنجش</w:t>
            </w:r>
          </w:p>
        </w:tc>
        <w:tc>
          <w:tcPr>
            <w:tcW w:w="1325"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CA9CA01"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سال94</w:t>
            </w:r>
          </w:p>
        </w:tc>
        <w:tc>
          <w:tcPr>
            <w:tcW w:w="1325" w:type="dxa"/>
            <w:tcBorders>
              <w:top w:val="single" w:sz="4" w:space="0" w:color="auto"/>
              <w:left w:val="single" w:sz="4" w:space="0" w:color="auto"/>
              <w:bottom w:val="single" w:sz="4" w:space="0" w:color="auto"/>
              <w:right w:val="nil"/>
            </w:tcBorders>
            <w:shd w:val="clear" w:color="000000" w:fill="BDD7EE"/>
            <w:vAlign w:val="center"/>
            <w:hideMark/>
          </w:tcPr>
          <w:p w14:paraId="78B76F76"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سال95</w:t>
            </w:r>
          </w:p>
        </w:tc>
        <w:tc>
          <w:tcPr>
            <w:tcW w:w="1325"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03BFFAC"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سال96</w:t>
            </w:r>
          </w:p>
        </w:tc>
        <w:tc>
          <w:tcPr>
            <w:tcW w:w="1325"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8CC426E"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سال97</w:t>
            </w:r>
          </w:p>
        </w:tc>
        <w:tc>
          <w:tcPr>
            <w:tcW w:w="1343"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1F1D1A61"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سال98</w:t>
            </w:r>
          </w:p>
        </w:tc>
      </w:tr>
      <w:tr w:rsidR="00610B67" w:rsidRPr="00610B67" w14:paraId="577ED502" w14:textId="77777777" w:rsidTr="00610B67">
        <w:trPr>
          <w:trHeight w:val="621"/>
        </w:trPr>
        <w:tc>
          <w:tcPr>
            <w:tcW w:w="2370" w:type="dxa"/>
            <w:tcBorders>
              <w:top w:val="nil"/>
              <w:left w:val="single" w:sz="4" w:space="0" w:color="auto"/>
              <w:bottom w:val="single" w:sz="4" w:space="0" w:color="auto"/>
              <w:right w:val="single" w:sz="4" w:space="0" w:color="auto"/>
            </w:tcBorders>
            <w:shd w:val="clear" w:color="000000" w:fill="BDD7EE"/>
            <w:vAlign w:val="center"/>
            <w:hideMark/>
          </w:tcPr>
          <w:p w14:paraId="5098A1CA"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 xml:space="preserve"> معادن دارای پروانه بهره برداری(فعال)</w:t>
            </w:r>
          </w:p>
        </w:tc>
        <w:tc>
          <w:tcPr>
            <w:tcW w:w="280" w:type="dxa"/>
            <w:tcBorders>
              <w:top w:val="nil"/>
              <w:left w:val="single" w:sz="4" w:space="0" w:color="auto"/>
              <w:bottom w:val="single" w:sz="4" w:space="0" w:color="auto"/>
              <w:right w:val="single" w:sz="4" w:space="0" w:color="auto"/>
            </w:tcBorders>
            <w:shd w:val="clear" w:color="000000" w:fill="FFFFFF"/>
            <w:vAlign w:val="center"/>
            <w:hideMark/>
          </w:tcPr>
          <w:p w14:paraId="0A839209" w14:textId="77777777" w:rsidR="00610B67" w:rsidRPr="00610B67" w:rsidRDefault="00610B67" w:rsidP="00610B67">
            <w:pPr>
              <w:spacing w:after="0" w:line="240" w:lineRule="auto"/>
              <w:jc w:val="center"/>
              <w:rPr>
                <w:rFonts w:ascii="Calibri" w:eastAsia="Times New Roman" w:hAnsi="Calibri" w:cs="B Nazanin"/>
                <w:color w:val="000000"/>
                <w:rtl/>
                <w:lang w:bidi="ar-SA"/>
              </w:rPr>
            </w:pPr>
            <w:r w:rsidRPr="00610B67">
              <w:rPr>
                <w:rFonts w:ascii="Calibri" w:eastAsia="Times New Roman" w:hAnsi="Calibri" w:cs="B Nazanin" w:hint="cs"/>
                <w:color w:val="000000"/>
                <w:rtl/>
                <w:lang w:bidi="ar-SA"/>
              </w:rPr>
              <w:t>تعداد</w:t>
            </w:r>
          </w:p>
        </w:tc>
        <w:tc>
          <w:tcPr>
            <w:tcW w:w="1325" w:type="dxa"/>
            <w:tcBorders>
              <w:top w:val="nil"/>
              <w:left w:val="single" w:sz="4" w:space="0" w:color="auto"/>
              <w:bottom w:val="single" w:sz="4" w:space="0" w:color="auto"/>
              <w:right w:val="single" w:sz="4" w:space="0" w:color="auto"/>
            </w:tcBorders>
            <w:shd w:val="clear" w:color="000000" w:fill="FFFFFF"/>
            <w:vAlign w:val="center"/>
            <w:hideMark/>
          </w:tcPr>
          <w:p w14:paraId="748619F7" w14:textId="77777777" w:rsidR="00610B67" w:rsidRPr="005E31A2" w:rsidRDefault="00610B67" w:rsidP="00610B67">
            <w:pPr>
              <w:spacing w:after="0" w:line="240" w:lineRule="auto"/>
              <w:jc w:val="center"/>
              <w:rPr>
                <w:rFonts w:ascii="IPT Nazanin" w:eastAsia="Times New Roman" w:hAnsi="IPT Nazanin" w:cs="Calibri"/>
                <w:color w:val="000000"/>
                <w:rtl/>
                <w:lang w:bidi="ar-SA"/>
              </w:rPr>
            </w:pPr>
            <w:r w:rsidRPr="005E31A2">
              <w:rPr>
                <w:rFonts w:ascii="IPT Nazanin" w:eastAsia="Times New Roman" w:hAnsi="IPT Nazanin" w:cs="Calibri"/>
                <w:color w:val="000000"/>
                <w:rtl/>
                <w:lang w:bidi="ar-SA"/>
              </w:rPr>
              <w:t>40</w:t>
            </w:r>
          </w:p>
        </w:tc>
        <w:tc>
          <w:tcPr>
            <w:tcW w:w="1325" w:type="dxa"/>
            <w:tcBorders>
              <w:top w:val="nil"/>
              <w:left w:val="single" w:sz="4" w:space="0" w:color="auto"/>
              <w:bottom w:val="single" w:sz="4" w:space="0" w:color="auto"/>
              <w:right w:val="single" w:sz="4" w:space="0" w:color="auto"/>
            </w:tcBorders>
            <w:shd w:val="clear" w:color="000000" w:fill="FFFFFF"/>
            <w:vAlign w:val="center"/>
            <w:hideMark/>
          </w:tcPr>
          <w:p w14:paraId="579F097F" w14:textId="77777777" w:rsidR="00610B67" w:rsidRPr="005E31A2" w:rsidRDefault="00610B67" w:rsidP="00610B67">
            <w:pPr>
              <w:spacing w:after="0" w:line="240" w:lineRule="auto"/>
              <w:jc w:val="center"/>
              <w:rPr>
                <w:rFonts w:ascii="IPT Nazanin" w:eastAsia="Times New Roman" w:hAnsi="IPT Nazanin" w:cs="B Nazanin"/>
                <w:color w:val="000000"/>
                <w:rtl/>
                <w:lang w:bidi="ar-SA"/>
              </w:rPr>
            </w:pPr>
            <w:r w:rsidRPr="005E31A2">
              <w:rPr>
                <w:rFonts w:ascii="IPT Nazanin" w:eastAsia="Times New Roman" w:hAnsi="IPT Nazanin" w:cs="B Nazanin"/>
                <w:color w:val="000000"/>
                <w:rtl/>
                <w:lang w:bidi="ar-SA"/>
              </w:rPr>
              <w:t>35</w:t>
            </w:r>
          </w:p>
        </w:tc>
        <w:tc>
          <w:tcPr>
            <w:tcW w:w="1325" w:type="dxa"/>
            <w:tcBorders>
              <w:top w:val="nil"/>
              <w:left w:val="single" w:sz="4" w:space="0" w:color="auto"/>
              <w:bottom w:val="single" w:sz="4" w:space="0" w:color="auto"/>
              <w:right w:val="single" w:sz="4" w:space="0" w:color="auto"/>
            </w:tcBorders>
            <w:shd w:val="clear" w:color="000000" w:fill="FFFFFF"/>
            <w:vAlign w:val="center"/>
            <w:hideMark/>
          </w:tcPr>
          <w:p w14:paraId="0B3C3537" w14:textId="77777777" w:rsidR="00610B67" w:rsidRPr="005E31A2" w:rsidRDefault="00610B67" w:rsidP="00610B67">
            <w:pPr>
              <w:spacing w:after="0" w:line="240" w:lineRule="auto"/>
              <w:jc w:val="center"/>
              <w:rPr>
                <w:rFonts w:ascii="IPT Nazanin" w:eastAsia="Times New Roman" w:hAnsi="IPT Nazanin" w:cs="B Nazanin"/>
                <w:color w:val="000000"/>
                <w:rtl/>
                <w:lang w:bidi="ar-SA"/>
              </w:rPr>
            </w:pPr>
            <w:r w:rsidRPr="005E31A2">
              <w:rPr>
                <w:rFonts w:ascii="IPT Nazanin" w:eastAsia="Times New Roman" w:hAnsi="IPT Nazanin" w:cs="B Nazanin"/>
                <w:color w:val="000000"/>
                <w:rtl/>
                <w:lang w:bidi="ar-SA"/>
              </w:rPr>
              <w:t>31</w:t>
            </w:r>
          </w:p>
        </w:tc>
        <w:tc>
          <w:tcPr>
            <w:tcW w:w="1325" w:type="dxa"/>
            <w:tcBorders>
              <w:top w:val="nil"/>
              <w:left w:val="single" w:sz="4" w:space="0" w:color="auto"/>
              <w:bottom w:val="single" w:sz="4" w:space="0" w:color="auto"/>
              <w:right w:val="single" w:sz="4" w:space="0" w:color="auto"/>
            </w:tcBorders>
            <w:shd w:val="clear" w:color="000000" w:fill="FFFFFF"/>
            <w:vAlign w:val="center"/>
            <w:hideMark/>
          </w:tcPr>
          <w:p w14:paraId="1FD23DEC" w14:textId="77777777" w:rsidR="00610B67" w:rsidRPr="005E31A2" w:rsidRDefault="00610B67" w:rsidP="00610B67">
            <w:pPr>
              <w:spacing w:after="0" w:line="240" w:lineRule="auto"/>
              <w:jc w:val="center"/>
              <w:rPr>
                <w:rFonts w:ascii="IPT Nazanin" w:eastAsia="Times New Roman" w:hAnsi="IPT Nazanin" w:cs="B Nazanin"/>
                <w:color w:val="000000"/>
                <w:rtl/>
                <w:lang w:bidi="ar-SA"/>
              </w:rPr>
            </w:pPr>
            <w:r w:rsidRPr="005E31A2">
              <w:rPr>
                <w:rFonts w:ascii="IPT Nazanin" w:eastAsia="Times New Roman" w:hAnsi="IPT Nazanin" w:cs="B Nazanin"/>
                <w:color w:val="000000"/>
                <w:rtl/>
                <w:lang w:bidi="ar-SA"/>
              </w:rPr>
              <w:t>0</w:t>
            </w:r>
          </w:p>
        </w:tc>
        <w:tc>
          <w:tcPr>
            <w:tcW w:w="1343" w:type="dxa"/>
            <w:tcBorders>
              <w:top w:val="nil"/>
              <w:left w:val="single" w:sz="4" w:space="0" w:color="auto"/>
              <w:bottom w:val="single" w:sz="4" w:space="0" w:color="auto"/>
              <w:right w:val="single" w:sz="4" w:space="0" w:color="auto"/>
            </w:tcBorders>
            <w:shd w:val="clear" w:color="000000" w:fill="FFFFFF"/>
            <w:vAlign w:val="center"/>
            <w:hideMark/>
          </w:tcPr>
          <w:p w14:paraId="5F9E5063" w14:textId="77777777" w:rsidR="00610B67" w:rsidRPr="005E31A2" w:rsidRDefault="00610B67" w:rsidP="00610B67">
            <w:pPr>
              <w:spacing w:after="0" w:line="240" w:lineRule="auto"/>
              <w:jc w:val="center"/>
              <w:rPr>
                <w:rFonts w:ascii="IPT Nazanin" w:eastAsia="Times New Roman" w:hAnsi="IPT Nazanin" w:cs="B Nazanin"/>
                <w:color w:val="000000"/>
                <w:rtl/>
                <w:lang w:bidi="ar-SA"/>
              </w:rPr>
            </w:pPr>
            <w:r w:rsidRPr="005E31A2">
              <w:rPr>
                <w:rFonts w:ascii="IPT Nazanin" w:eastAsia="Times New Roman" w:hAnsi="IPT Nazanin" w:cs="B Nazanin"/>
                <w:color w:val="000000"/>
                <w:rtl/>
                <w:lang w:bidi="ar-SA"/>
              </w:rPr>
              <w:t>عدم وجود اطلاعات</w:t>
            </w:r>
          </w:p>
        </w:tc>
      </w:tr>
      <w:tr w:rsidR="00610B67" w:rsidRPr="00610B67" w14:paraId="7C7FDE2B" w14:textId="77777777" w:rsidTr="00610B67">
        <w:trPr>
          <w:trHeight w:val="621"/>
        </w:trPr>
        <w:tc>
          <w:tcPr>
            <w:tcW w:w="2370" w:type="dxa"/>
            <w:tcBorders>
              <w:top w:val="nil"/>
              <w:left w:val="single" w:sz="4" w:space="0" w:color="auto"/>
              <w:bottom w:val="single" w:sz="4" w:space="0" w:color="auto"/>
              <w:right w:val="single" w:sz="4" w:space="0" w:color="auto"/>
            </w:tcBorders>
            <w:shd w:val="clear" w:color="000000" w:fill="BDD7EE"/>
            <w:vAlign w:val="center"/>
            <w:hideMark/>
          </w:tcPr>
          <w:p w14:paraId="37BE8EE9"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شرکتهای تعاونی معدنی فعال</w:t>
            </w:r>
          </w:p>
        </w:tc>
        <w:tc>
          <w:tcPr>
            <w:tcW w:w="280" w:type="dxa"/>
            <w:tcBorders>
              <w:top w:val="nil"/>
              <w:left w:val="single" w:sz="4" w:space="0" w:color="auto"/>
              <w:bottom w:val="single" w:sz="4" w:space="0" w:color="auto"/>
              <w:right w:val="single" w:sz="4" w:space="0" w:color="auto"/>
            </w:tcBorders>
            <w:shd w:val="clear" w:color="000000" w:fill="F3F7FB"/>
            <w:vAlign w:val="center"/>
            <w:hideMark/>
          </w:tcPr>
          <w:p w14:paraId="247D4AAD" w14:textId="77777777" w:rsidR="00610B67" w:rsidRPr="00610B67" w:rsidRDefault="00610B67" w:rsidP="00610B67">
            <w:pPr>
              <w:spacing w:after="0" w:line="240" w:lineRule="auto"/>
              <w:jc w:val="center"/>
              <w:rPr>
                <w:rFonts w:ascii="Calibri" w:eastAsia="Times New Roman" w:hAnsi="Calibri" w:cs="B Nazanin"/>
                <w:color w:val="000000"/>
                <w:rtl/>
                <w:lang w:bidi="ar-SA"/>
              </w:rPr>
            </w:pPr>
            <w:r w:rsidRPr="00610B67">
              <w:rPr>
                <w:rFonts w:ascii="Calibri" w:eastAsia="Times New Roman" w:hAnsi="Calibri" w:cs="B Nazanin" w:hint="cs"/>
                <w:color w:val="000000"/>
                <w:rtl/>
                <w:lang w:bidi="ar-SA"/>
              </w:rPr>
              <w:t>تعداد</w:t>
            </w:r>
          </w:p>
        </w:tc>
        <w:tc>
          <w:tcPr>
            <w:tcW w:w="1325" w:type="dxa"/>
            <w:tcBorders>
              <w:top w:val="nil"/>
              <w:left w:val="single" w:sz="4" w:space="0" w:color="auto"/>
              <w:bottom w:val="single" w:sz="4" w:space="0" w:color="auto"/>
              <w:right w:val="single" w:sz="4" w:space="0" w:color="auto"/>
            </w:tcBorders>
            <w:shd w:val="clear" w:color="000000" w:fill="F3F7FB"/>
            <w:vAlign w:val="center"/>
            <w:hideMark/>
          </w:tcPr>
          <w:p w14:paraId="75A69401" w14:textId="77777777" w:rsidR="00610B67" w:rsidRPr="005E31A2" w:rsidRDefault="00610B67" w:rsidP="00610B67">
            <w:pPr>
              <w:bidi w:val="0"/>
              <w:spacing w:after="0" w:line="240" w:lineRule="auto"/>
              <w:jc w:val="center"/>
              <w:rPr>
                <w:rFonts w:ascii="IPT Nazanin" w:eastAsia="Times New Roman" w:hAnsi="IPT Nazanin" w:cs="Calibri"/>
                <w:color w:val="000000"/>
                <w:rtl/>
                <w:lang w:bidi="ar-SA"/>
              </w:rPr>
            </w:pPr>
            <w:r w:rsidRPr="005E31A2">
              <w:rPr>
                <w:rFonts w:ascii="IPT Nazanin" w:eastAsia="Times New Roman" w:hAnsi="IPT Nazanin" w:cs="Calibri"/>
                <w:color w:val="000000"/>
                <w:lang w:bidi="ar-SA"/>
              </w:rPr>
              <w:t></w:t>
            </w:r>
          </w:p>
        </w:tc>
        <w:tc>
          <w:tcPr>
            <w:tcW w:w="1325" w:type="dxa"/>
            <w:tcBorders>
              <w:top w:val="nil"/>
              <w:left w:val="single" w:sz="4" w:space="0" w:color="auto"/>
              <w:bottom w:val="single" w:sz="4" w:space="0" w:color="auto"/>
              <w:right w:val="single" w:sz="4" w:space="0" w:color="auto"/>
            </w:tcBorders>
            <w:shd w:val="clear" w:color="000000" w:fill="F3F7FB"/>
            <w:vAlign w:val="center"/>
            <w:hideMark/>
          </w:tcPr>
          <w:p w14:paraId="1288DD4E"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p>
        </w:tc>
        <w:tc>
          <w:tcPr>
            <w:tcW w:w="1325" w:type="dxa"/>
            <w:tcBorders>
              <w:top w:val="nil"/>
              <w:left w:val="single" w:sz="4" w:space="0" w:color="auto"/>
              <w:bottom w:val="single" w:sz="4" w:space="0" w:color="auto"/>
              <w:right w:val="single" w:sz="4" w:space="0" w:color="auto"/>
            </w:tcBorders>
            <w:shd w:val="clear" w:color="000000" w:fill="F3F7FB"/>
            <w:vAlign w:val="center"/>
            <w:hideMark/>
          </w:tcPr>
          <w:p w14:paraId="279EC564"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p>
        </w:tc>
        <w:tc>
          <w:tcPr>
            <w:tcW w:w="1325" w:type="dxa"/>
            <w:tcBorders>
              <w:top w:val="nil"/>
              <w:left w:val="single" w:sz="4" w:space="0" w:color="auto"/>
              <w:bottom w:val="single" w:sz="4" w:space="0" w:color="auto"/>
              <w:right w:val="single" w:sz="4" w:space="0" w:color="auto"/>
            </w:tcBorders>
            <w:shd w:val="clear" w:color="000000" w:fill="F3F7FB"/>
            <w:vAlign w:val="center"/>
            <w:hideMark/>
          </w:tcPr>
          <w:p w14:paraId="11074ED2"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p>
        </w:tc>
        <w:tc>
          <w:tcPr>
            <w:tcW w:w="1343" w:type="dxa"/>
            <w:tcBorders>
              <w:top w:val="nil"/>
              <w:left w:val="single" w:sz="4" w:space="0" w:color="auto"/>
              <w:bottom w:val="single" w:sz="4" w:space="0" w:color="auto"/>
              <w:right w:val="single" w:sz="4" w:space="0" w:color="auto"/>
            </w:tcBorders>
            <w:shd w:val="clear" w:color="000000" w:fill="F3F7FB"/>
            <w:vAlign w:val="center"/>
            <w:hideMark/>
          </w:tcPr>
          <w:p w14:paraId="60677852"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p>
        </w:tc>
      </w:tr>
      <w:tr w:rsidR="00610B67" w:rsidRPr="00610B67" w14:paraId="15072DA2" w14:textId="77777777" w:rsidTr="00610B67">
        <w:trPr>
          <w:trHeight w:val="621"/>
        </w:trPr>
        <w:tc>
          <w:tcPr>
            <w:tcW w:w="2370" w:type="dxa"/>
            <w:tcBorders>
              <w:top w:val="nil"/>
              <w:left w:val="single" w:sz="4" w:space="0" w:color="auto"/>
              <w:bottom w:val="single" w:sz="4" w:space="0" w:color="auto"/>
              <w:right w:val="single" w:sz="4" w:space="0" w:color="auto"/>
            </w:tcBorders>
            <w:shd w:val="clear" w:color="000000" w:fill="BDD7EE"/>
            <w:vAlign w:val="center"/>
            <w:hideMark/>
          </w:tcPr>
          <w:p w14:paraId="507B058A" w14:textId="77777777" w:rsidR="00610B67" w:rsidRPr="00610B67" w:rsidRDefault="00610B67" w:rsidP="00610B67">
            <w:pPr>
              <w:spacing w:after="0" w:line="240" w:lineRule="auto"/>
              <w:jc w:val="center"/>
              <w:rPr>
                <w:rFonts w:ascii="Calibri" w:eastAsia="Times New Roman" w:hAnsi="Calibri" w:cs="B Nazanin"/>
                <w:b/>
                <w:bCs/>
                <w:color w:val="262626"/>
                <w:lang w:bidi="ar-SA"/>
              </w:rPr>
            </w:pPr>
            <w:r w:rsidRPr="00610B67">
              <w:rPr>
                <w:rFonts w:ascii="Calibri" w:eastAsia="Times New Roman" w:hAnsi="Calibri" w:cs="B Nazanin" w:hint="cs"/>
                <w:b/>
                <w:bCs/>
                <w:color w:val="262626"/>
                <w:rtl/>
                <w:lang w:bidi="ar-SA"/>
              </w:rPr>
              <w:t>تعداد اعضای شرکتهای تعاونی فعال</w:t>
            </w:r>
          </w:p>
        </w:tc>
        <w:tc>
          <w:tcPr>
            <w:tcW w:w="280" w:type="dxa"/>
            <w:tcBorders>
              <w:top w:val="nil"/>
              <w:left w:val="single" w:sz="4" w:space="0" w:color="auto"/>
              <w:bottom w:val="single" w:sz="4" w:space="0" w:color="auto"/>
              <w:right w:val="single" w:sz="4" w:space="0" w:color="auto"/>
            </w:tcBorders>
            <w:shd w:val="clear" w:color="auto" w:fill="auto"/>
            <w:vAlign w:val="center"/>
            <w:hideMark/>
          </w:tcPr>
          <w:p w14:paraId="1A906AF5" w14:textId="77777777" w:rsidR="00610B67" w:rsidRPr="00610B67" w:rsidRDefault="00610B67" w:rsidP="00610B67">
            <w:pPr>
              <w:spacing w:after="0" w:line="240" w:lineRule="auto"/>
              <w:jc w:val="center"/>
              <w:rPr>
                <w:rFonts w:ascii="Calibri" w:eastAsia="Times New Roman" w:hAnsi="Calibri" w:cs="B Nazanin"/>
                <w:color w:val="000000"/>
                <w:rtl/>
                <w:lang w:bidi="ar-SA"/>
              </w:rPr>
            </w:pPr>
            <w:r w:rsidRPr="00610B67">
              <w:rPr>
                <w:rFonts w:ascii="Calibri" w:eastAsia="Times New Roman" w:hAnsi="Calibri" w:cs="B Nazanin" w:hint="cs"/>
                <w:color w:val="000000"/>
                <w:rtl/>
                <w:lang w:bidi="ar-SA"/>
              </w:rPr>
              <w:t>نفر</w:t>
            </w:r>
          </w:p>
        </w:tc>
        <w:tc>
          <w:tcPr>
            <w:tcW w:w="1325" w:type="dxa"/>
            <w:tcBorders>
              <w:top w:val="nil"/>
              <w:left w:val="single" w:sz="4" w:space="0" w:color="auto"/>
              <w:bottom w:val="single" w:sz="4" w:space="0" w:color="auto"/>
              <w:right w:val="single" w:sz="4" w:space="0" w:color="auto"/>
            </w:tcBorders>
            <w:shd w:val="clear" w:color="auto" w:fill="auto"/>
            <w:vAlign w:val="center"/>
            <w:hideMark/>
          </w:tcPr>
          <w:p w14:paraId="3163FB18" w14:textId="77777777" w:rsidR="00610B67" w:rsidRPr="005E31A2" w:rsidRDefault="00610B67" w:rsidP="00610B67">
            <w:pPr>
              <w:bidi w:val="0"/>
              <w:spacing w:after="0" w:line="240" w:lineRule="auto"/>
              <w:jc w:val="center"/>
              <w:rPr>
                <w:rFonts w:ascii="IPT Nazanin" w:eastAsia="Times New Roman" w:hAnsi="IPT Nazanin" w:cs="Calibri"/>
                <w:color w:val="000000"/>
                <w:rtl/>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c>
          <w:tcPr>
            <w:tcW w:w="1325" w:type="dxa"/>
            <w:tcBorders>
              <w:top w:val="nil"/>
              <w:left w:val="single" w:sz="4" w:space="0" w:color="auto"/>
              <w:bottom w:val="single" w:sz="4" w:space="0" w:color="auto"/>
              <w:right w:val="single" w:sz="4" w:space="0" w:color="auto"/>
            </w:tcBorders>
            <w:shd w:val="clear" w:color="auto" w:fill="auto"/>
            <w:vAlign w:val="center"/>
            <w:hideMark/>
          </w:tcPr>
          <w:p w14:paraId="63A48323"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c>
          <w:tcPr>
            <w:tcW w:w="1325" w:type="dxa"/>
            <w:tcBorders>
              <w:top w:val="nil"/>
              <w:left w:val="single" w:sz="4" w:space="0" w:color="auto"/>
              <w:bottom w:val="single" w:sz="4" w:space="0" w:color="auto"/>
              <w:right w:val="single" w:sz="4" w:space="0" w:color="auto"/>
            </w:tcBorders>
            <w:shd w:val="clear" w:color="auto" w:fill="auto"/>
            <w:vAlign w:val="center"/>
            <w:hideMark/>
          </w:tcPr>
          <w:p w14:paraId="3947B121"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c>
          <w:tcPr>
            <w:tcW w:w="1325" w:type="dxa"/>
            <w:tcBorders>
              <w:top w:val="nil"/>
              <w:left w:val="single" w:sz="4" w:space="0" w:color="auto"/>
              <w:bottom w:val="single" w:sz="4" w:space="0" w:color="auto"/>
              <w:right w:val="single" w:sz="4" w:space="0" w:color="auto"/>
            </w:tcBorders>
            <w:shd w:val="clear" w:color="auto" w:fill="auto"/>
            <w:vAlign w:val="center"/>
            <w:hideMark/>
          </w:tcPr>
          <w:p w14:paraId="0E63098C"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c>
          <w:tcPr>
            <w:tcW w:w="1343" w:type="dxa"/>
            <w:tcBorders>
              <w:top w:val="nil"/>
              <w:left w:val="single" w:sz="4" w:space="0" w:color="auto"/>
              <w:bottom w:val="single" w:sz="4" w:space="0" w:color="auto"/>
              <w:right w:val="single" w:sz="4" w:space="0" w:color="auto"/>
            </w:tcBorders>
            <w:shd w:val="clear" w:color="auto" w:fill="auto"/>
            <w:vAlign w:val="center"/>
            <w:hideMark/>
          </w:tcPr>
          <w:p w14:paraId="0871E913"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r>
      <w:tr w:rsidR="00610B67" w:rsidRPr="00610B67" w14:paraId="641B18D0" w14:textId="77777777" w:rsidTr="00610B67">
        <w:trPr>
          <w:trHeight w:val="621"/>
        </w:trPr>
        <w:tc>
          <w:tcPr>
            <w:tcW w:w="2370" w:type="dxa"/>
            <w:tcBorders>
              <w:top w:val="nil"/>
              <w:left w:val="single" w:sz="4" w:space="0" w:color="auto"/>
              <w:bottom w:val="single" w:sz="4" w:space="0" w:color="auto"/>
              <w:right w:val="single" w:sz="4" w:space="0" w:color="auto"/>
            </w:tcBorders>
            <w:shd w:val="clear" w:color="000000" w:fill="BDD7EE"/>
            <w:vAlign w:val="center"/>
            <w:hideMark/>
          </w:tcPr>
          <w:p w14:paraId="4F6E6E60" w14:textId="77777777" w:rsidR="00610B67" w:rsidRPr="00610B67" w:rsidRDefault="00610B67" w:rsidP="00610B67">
            <w:pPr>
              <w:spacing w:after="0" w:line="240" w:lineRule="auto"/>
              <w:jc w:val="center"/>
              <w:rPr>
                <w:rFonts w:ascii="Calibri" w:eastAsia="Times New Roman" w:hAnsi="Calibri" w:cs="B Nazanin"/>
                <w:b/>
                <w:bCs/>
                <w:color w:val="262626"/>
                <w:lang w:bidi="ar-SA"/>
              </w:rPr>
            </w:pPr>
            <w:r w:rsidRPr="00610B67">
              <w:rPr>
                <w:rFonts w:ascii="Calibri" w:eastAsia="Times New Roman" w:hAnsi="Calibri" w:cs="B Nazanin" w:hint="cs"/>
                <w:b/>
                <w:bCs/>
                <w:color w:val="262626"/>
                <w:rtl/>
                <w:lang w:bidi="ar-SA"/>
              </w:rPr>
              <w:t>تعداد شاغلین شرکتهای تعاونی معدنی فعال</w:t>
            </w:r>
          </w:p>
        </w:tc>
        <w:tc>
          <w:tcPr>
            <w:tcW w:w="280" w:type="dxa"/>
            <w:tcBorders>
              <w:top w:val="nil"/>
              <w:left w:val="single" w:sz="4" w:space="0" w:color="auto"/>
              <w:bottom w:val="single" w:sz="4" w:space="0" w:color="auto"/>
              <w:right w:val="single" w:sz="4" w:space="0" w:color="auto"/>
            </w:tcBorders>
            <w:shd w:val="clear" w:color="000000" w:fill="F3F7FB"/>
            <w:vAlign w:val="center"/>
            <w:hideMark/>
          </w:tcPr>
          <w:p w14:paraId="5A8D4080" w14:textId="77777777" w:rsidR="00610B67" w:rsidRPr="00610B67" w:rsidRDefault="00610B67" w:rsidP="00610B67">
            <w:pPr>
              <w:spacing w:after="0" w:line="240" w:lineRule="auto"/>
              <w:jc w:val="center"/>
              <w:rPr>
                <w:rFonts w:ascii="Calibri" w:eastAsia="Times New Roman" w:hAnsi="Calibri" w:cs="B Nazanin"/>
                <w:color w:val="000000"/>
                <w:rtl/>
                <w:lang w:bidi="ar-SA"/>
              </w:rPr>
            </w:pPr>
            <w:r w:rsidRPr="00610B67">
              <w:rPr>
                <w:rFonts w:ascii="Calibri" w:eastAsia="Times New Roman" w:hAnsi="Calibri" w:cs="B Nazanin" w:hint="cs"/>
                <w:color w:val="000000"/>
                <w:rtl/>
                <w:lang w:bidi="ar-SA"/>
              </w:rPr>
              <w:t>نفر</w:t>
            </w:r>
          </w:p>
        </w:tc>
        <w:tc>
          <w:tcPr>
            <w:tcW w:w="1325" w:type="dxa"/>
            <w:tcBorders>
              <w:top w:val="nil"/>
              <w:left w:val="single" w:sz="4" w:space="0" w:color="auto"/>
              <w:bottom w:val="single" w:sz="4" w:space="0" w:color="auto"/>
              <w:right w:val="single" w:sz="4" w:space="0" w:color="auto"/>
            </w:tcBorders>
            <w:shd w:val="clear" w:color="000000" w:fill="F3F7FB"/>
            <w:vAlign w:val="center"/>
            <w:hideMark/>
          </w:tcPr>
          <w:p w14:paraId="77F0505A" w14:textId="77777777" w:rsidR="00610B67" w:rsidRPr="005E31A2" w:rsidRDefault="00610B67" w:rsidP="00610B67">
            <w:pPr>
              <w:bidi w:val="0"/>
              <w:spacing w:after="0" w:line="240" w:lineRule="auto"/>
              <w:jc w:val="center"/>
              <w:rPr>
                <w:rFonts w:ascii="IPT Nazanin" w:eastAsia="Times New Roman" w:hAnsi="IPT Nazanin" w:cs="Calibri"/>
                <w:color w:val="000000"/>
                <w:rtl/>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c>
          <w:tcPr>
            <w:tcW w:w="1325" w:type="dxa"/>
            <w:tcBorders>
              <w:top w:val="nil"/>
              <w:left w:val="single" w:sz="4" w:space="0" w:color="auto"/>
              <w:bottom w:val="single" w:sz="4" w:space="0" w:color="auto"/>
              <w:right w:val="single" w:sz="4" w:space="0" w:color="auto"/>
            </w:tcBorders>
            <w:shd w:val="clear" w:color="000000" w:fill="F3F7FB"/>
            <w:vAlign w:val="center"/>
            <w:hideMark/>
          </w:tcPr>
          <w:p w14:paraId="59479570"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c>
          <w:tcPr>
            <w:tcW w:w="1325" w:type="dxa"/>
            <w:tcBorders>
              <w:top w:val="nil"/>
              <w:left w:val="single" w:sz="4" w:space="0" w:color="auto"/>
              <w:bottom w:val="single" w:sz="4" w:space="0" w:color="auto"/>
              <w:right w:val="single" w:sz="4" w:space="0" w:color="auto"/>
            </w:tcBorders>
            <w:shd w:val="clear" w:color="000000" w:fill="F3F7FB"/>
            <w:vAlign w:val="center"/>
            <w:hideMark/>
          </w:tcPr>
          <w:p w14:paraId="2A3CD68F"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c>
          <w:tcPr>
            <w:tcW w:w="1325" w:type="dxa"/>
            <w:tcBorders>
              <w:top w:val="nil"/>
              <w:left w:val="single" w:sz="4" w:space="0" w:color="auto"/>
              <w:bottom w:val="single" w:sz="4" w:space="0" w:color="auto"/>
              <w:right w:val="single" w:sz="4" w:space="0" w:color="auto"/>
            </w:tcBorders>
            <w:shd w:val="clear" w:color="000000" w:fill="F3F7FB"/>
            <w:vAlign w:val="center"/>
            <w:hideMark/>
          </w:tcPr>
          <w:p w14:paraId="7B0002DD"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c>
          <w:tcPr>
            <w:tcW w:w="1343" w:type="dxa"/>
            <w:tcBorders>
              <w:top w:val="nil"/>
              <w:left w:val="single" w:sz="4" w:space="0" w:color="auto"/>
              <w:bottom w:val="single" w:sz="4" w:space="0" w:color="auto"/>
              <w:right w:val="single" w:sz="4" w:space="0" w:color="auto"/>
            </w:tcBorders>
            <w:shd w:val="clear" w:color="000000" w:fill="F3F7FB"/>
            <w:vAlign w:val="center"/>
            <w:hideMark/>
          </w:tcPr>
          <w:p w14:paraId="4A7ACD19" w14:textId="77777777" w:rsidR="00610B67" w:rsidRPr="005E31A2" w:rsidRDefault="00610B67" w:rsidP="00610B67">
            <w:pPr>
              <w:bidi w:val="0"/>
              <w:spacing w:after="0" w:line="240" w:lineRule="auto"/>
              <w:jc w:val="center"/>
              <w:rPr>
                <w:rFonts w:ascii="IPT Nazanin" w:eastAsia="Times New Roman" w:hAnsi="IPT Nazanin" w:cs="Calibri"/>
                <w:color w:val="000000"/>
                <w:lang w:bidi="ar-SA"/>
              </w:rPr>
            </w:pPr>
            <w:r w:rsidRPr="005E31A2">
              <w:rPr>
                <w:rFonts w:ascii="IPT Nazanin" w:eastAsia="Times New Roman" w:hAnsi="IPT Nazanin" w:cs="Calibri"/>
                <w:color w:val="000000"/>
                <w:lang w:bidi="ar-SA"/>
              </w:rPr>
              <w:t></w:t>
            </w:r>
            <w:r w:rsidRPr="005E31A2">
              <w:rPr>
                <w:rFonts w:ascii="IPT Nazanin" w:eastAsia="Times New Roman" w:hAnsi="IPT Nazanin" w:cs="Calibri"/>
                <w:color w:val="000000"/>
                <w:lang w:bidi="ar-SA"/>
              </w:rPr>
              <w:t></w:t>
            </w:r>
          </w:p>
        </w:tc>
      </w:tr>
      <w:tr w:rsidR="00610B67" w:rsidRPr="00610B67" w14:paraId="014E4BEB" w14:textId="77777777" w:rsidTr="00610B67">
        <w:trPr>
          <w:trHeight w:val="621"/>
        </w:trPr>
        <w:tc>
          <w:tcPr>
            <w:tcW w:w="2370" w:type="dxa"/>
            <w:tcBorders>
              <w:top w:val="nil"/>
              <w:left w:val="single" w:sz="4" w:space="0" w:color="auto"/>
              <w:bottom w:val="single" w:sz="4" w:space="0" w:color="auto"/>
              <w:right w:val="single" w:sz="4" w:space="0" w:color="auto"/>
            </w:tcBorders>
            <w:shd w:val="clear" w:color="000000" w:fill="BDD7EE"/>
            <w:vAlign w:val="center"/>
            <w:hideMark/>
          </w:tcPr>
          <w:p w14:paraId="7E93D081" w14:textId="77777777" w:rsidR="00610B67" w:rsidRPr="00610B67" w:rsidRDefault="00610B67" w:rsidP="00610B67">
            <w:pPr>
              <w:spacing w:after="0" w:line="240" w:lineRule="auto"/>
              <w:jc w:val="center"/>
              <w:rPr>
                <w:rFonts w:ascii="Calibri" w:eastAsia="Times New Roman" w:hAnsi="Calibri" w:cs="B Nazanin"/>
                <w:b/>
                <w:bCs/>
                <w:color w:val="262626"/>
                <w:lang w:bidi="ar-SA"/>
              </w:rPr>
            </w:pPr>
            <w:r w:rsidRPr="00610B67">
              <w:rPr>
                <w:rFonts w:ascii="Calibri" w:eastAsia="Times New Roman" w:hAnsi="Calibri" w:cs="B Nazanin" w:hint="cs"/>
                <w:b/>
                <w:bCs/>
                <w:color w:val="262626"/>
                <w:rtl/>
                <w:lang w:bidi="ar-SA"/>
              </w:rPr>
              <w:t>سرمایه شرکت های تعاونی معدنی فعال</w:t>
            </w:r>
          </w:p>
        </w:tc>
        <w:tc>
          <w:tcPr>
            <w:tcW w:w="280" w:type="dxa"/>
            <w:tcBorders>
              <w:top w:val="nil"/>
              <w:left w:val="single" w:sz="4" w:space="0" w:color="auto"/>
              <w:bottom w:val="single" w:sz="4" w:space="0" w:color="auto"/>
              <w:right w:val="single" w:sz="4" w:space="0" w:color="auto"/>
            </w:tcBorders>
            <w:shd w:val="clear" w:color="auto" w:fill="auto"/>
            <w:vAlign w:val="center"/>
            <w:hideMark/>
          </w:tcPr>
          <w:p w14:paraId="07B2E91E" w14:textId="77777777" w:rsidR="00610B67" w:rsidRPr="00610B67" w:rsidRDefault="00610B67" w:rsidP="00610B67">
            <w:pPr>
              <w:spacing w:after="0" w:line="240" w:lineRule="auto"/>
              <w:jc w:val="center"/>
              <w:rPr>
                <w:rFonts w:ascii="Calibri" w:eastAsia="Times New Roman" w:hAnsi="Calibri" w:cs="B Nazanin"/>
                <w:color w:val="000000"/>
                <w:rtl/>
                <w:lang w:bidi="ar-SA"/>
              </w:rPr>
            </w:pPr>
            <w:r w:rsidRPr="00610B67">
              <w:rPr>
                <w:rFonts w:ascii="Calibri" w:eastAsia="Times New Roman" w:hAnsi="Calibri" w:cs="B Nazanin" w:hint="cs"/>
                <w:color w:val="000000"/>
                <w:rtl/>
                <w:lang w:bidi="ar-SA"/>
              </w:rPr>
              <w:t>میلیون ریال</w:t>
            </w:r>
          </w:p>
        </w:tc>
        <w:tc>
          <w:tcPr>
            <w:tcW w:w="1325" w:type="dxa"/>
            <w:tcBorders>
              <w:top w:val="nil"/>
              <w:left w:val="single" w:sz="4" w:space="0" w:color="auto"/>
              <w:bottom w:val="single" w:sz="4" w:space="0" w:color="auto"/>
              <w:right w:val="single" w:sz="4" w:space="0" w:color="auto"/>
            </w:tcBorders>
            <w:shd w:val="clear" w:color="000000" w:fill="FFFFFF"/>
            <w:vAlign w:val="center"/>
            <w:hideMark/>
          </w:tcPr>
          <w:p w14:paraId="75A5C7F0" w14:textId="77777777" w:rsidR="00610B67" w:rsidRPr="005E31A2" w:rsidRDefault="00610B67" w:rsidP="00610B67">
            <w:pPr>
              <w:bidi w:val="0"/>
              <w:spacing w:after="0" w:line="240" w:lineRule="auto"/>
              <w:jc w:val="center"/>
              <w:rPr>
                <w:rFonts w:ascii="IPT Nazanin" w:eastAsia="Times New Roman" w:hAnsi="IPT Nazanin" w:cs="B Nazanin"/>
                <w:color w:val="000000"/>
                <w:rtl/>
                <w:lang w:bidi="ar-SA"/>
              </w:rPr>
            </w:pPr>
            <w:r w:rsidRPr="005E31A2">
              <w:rPr>
                <w:rFonts w:ascii="IPT Nazanin" w:eastAsia="Times New Roman" w:hAnsi="IPT Nazanin" w:cs="B Nazanin"/>
                <w:color w:val="000000"/>
                <w:lang w:bidi="ar-SA"/>
              </w:rPr>
              <w:t>2,985</w:t>
            </w:r>
          </w:p>
        </w:tc>
        <w:tc>
          <w:tcPr>
            <w:tcW w:w="1325" w:type="dxa"/>
            <w:tcBorders>
              <w:top w:val="nil"/>
              <w:left w:val="single" w:sz="4" w:space="0" w:color="auto"/>
              <w:bottom w:val="single" w:sz="4" w:space="0" w:color="auto"/>
              <w:right w:val="single" w:sz="4" w:space="0" w:color="auto"/>
            </w:tcBorders>
            <w:shd w:val="clear" w:color="000000" w:fill="FFFFFF"/>
            <w:vAlign w:val="center"/>
            <w:hideMark/>
          </w:tcPr>
          <w:p w14:paraId="73F42A2F" w14:textId="77777777" w:rsidR="00610B67" w:rsidRPr="005E31A2" w:rsidRDefault="00610B67" w:rsidP="00610B67">
            <w:pPr>
              <w:bidi w:val="0"/>
              <w:spacing w:after="0" w:line="240" w:lineRule="auto"/>
              <w:jc w:val="center"/>
              <w:rPr>
                <w:rFonts w:ascii="IPT Nazanin" w:eastAsia="Times New Roman" w:hAnsi="IPT Nazanin" w:cs="B Nazanin"/>
                <w:color w:val="000000"/>
                <w:lang w:bidi="ar-SA"/>
              </w:rPr>
            </w:pPr>
            <w:r w:rsidRPr="005E31A2">
              <w:rPr>
                <w:rFonts w:ascii="IPT Nazanin" w:eastAsia="Times New Roman" w:hAnsi="IPT Nazanin" w:cs="B Nazanin"/>
                <w:color w:val="000000"/>
                <w:lang w:bidi="ar-SA"/>
              </w:rPr>
              <w:t>2,985</w:t>
            </w:r>
          </w:p>
        </w:tc>
        <w:tc>
          <w:tcPr>
            <w:tcW w:w="1325" w:type="dxa"/>
            <w:tcBorders>
              <w:top w:val="nil"/>
              <w:left w:val="single" w:sz="4" w:space="0" w:color="auto"/>
              <w:bottom w:val="single" w:sz="4" w:space="0" w:color="auto"/>
              <w:right w:val="single" w:sz="4" w:space="0" w:color="auto"/>
            </w:tcBorders>
            <w:shd w:val="clear" w:color="000000" w:fill="FFFFFF"/>
            <w:vAlign w:val="center"/>
            <w:hideMark/>
          </w:tcPr>
          <w:p w14:paraId="790351C5" w14:textId="77777777" w:rsidR="00610B67" w:rsidRPr="005E31A2" w:rsidRDefault="00610B67" w:rsidP="00610B67">
            <w:pPr>
              <w:bidi w:val="0"/>
              <w:spacing w:after="0" w:line="240" w:lineRule="auto"/>
              <w:jc w:val="center"/>
              <w:rPr>
                <w:rFonts w:ascii="IPT Nazanin" w:eastAsia="Times New Roman" w:hAnsi="IPT Nazanin" w:cs="B Nazanin"/>
                <w:color w:val="000000"/>
                <w:lang w:bidi="ar-SA"/>
              </w:rPr>
            </w:pPr>
            <w:r w:rsidRPr="005E31A2">
              <w:rPr>
                <w:rFonts w:ascii="IPT Nazanin" w:eastAsia="Times New Roman" w:hAnsi="IPT Nazanin" w:cs="B Nazanin"/>
                <w:color w:val="000000"/>
                <w:lang w:bidi="ar-SA"/>
              </w:rPr>
              <w:t>3,265</w:t>
            </w:r>
          </w:p>
        </w:tc>
        <w:tc>
          <w:tcPr>
            <w:tcW w:w="1325" w:type="dxa"/>
            <w:tcBorders>
              <w:top w:val="nil"/>
              <w:left w:val="single" w:sz="4" w:space="0" w:color="auto"/>
              <w:bottom w:val="single" w:sz="4" w:space="0" w:color="auto"/>
              <w:right w:val="single" w:sz="4" w:space="0" w:color="auto"/>
            </w:tcBorders>
            <w:shd w:val="clear" w:color="000000" w:fill="FFFFFF"/>
            <w:vAlign w:val="center"/>
            <w:hideMark/>
          </w:tcPr>
          <w:p w14:paraId="0F64E6C9" w14:textId="77777777" w:rsidR="00610B67" w:rsidRPr="005E31A2" w:rsidRDefault="00610B67" w:rsidP="00610B67">
            <w:pPr>
              <w:bidi w:val="0"/>
              <w:spacing w:after="0" w:line="240" w:lineRule="auto"/>
              <w:jc w:val="center"/>
              <w:rPr>
                <w:rFonts w:ascii="IPT Nazanin" w:eastAsia="Times New Roman" w:hAnsi="IPT Nazanin" w:cs="B Nazanin"/>
                <w:color w:val="000000"/>
                <w:lang w:bidi="ar-SA"/>
              </w:rPr>
            </w:pPr>
            <w:r w:rsidRPr="005E31A2">
              <w:rPr>
                <w:rFonts w:ascii="IPT Nazanin" w:eastAsia="Times New Roman" w:hAnsi="IPT Nazanin" w:cs="B Nazanin"/>
                <w:color w:val="000000"/>
                <w:lang w:bidi="ar-SA"/>
              </w:rPr>
              <w:t>3,265</w:t>
            </w:r>
          </w:p>
        </w:tc>
        <w:tc>
          <w:tcPr>
            <w:tcW w:w="1343" w:type="dxa"/>
            <w:tcBorders>
              <w:top w:val="nil"/>
              <w:left w:val="single" w:sz="4" w:space="0" w:color="auto"/>
              <w:bottom w:val="single" w:sz="4" w:space="0" w:color="auto"/>
              <w:right w:val="single" w:sz="4" w:space="0" w:color="auto"/>
            </w:tcBorders>
            <w:shd w:val="clear" w:color="000000" w:fill="FFFFFF"/>
            <w:vAlign w:val="center"/>
            <w:hideMark/>
          </w:tcPr>
          <w:p w14:paraId="2CF65602" w14:textId="77777777" w:rsidR="00610B67" w:rsidRPr="005E31A2" w:rsidRDefault="00610B67" w:rsidP="00610B67">
            <w:pPr>
              <w:bidi w:val="0"/>
              <w:spacing w:after="0" w:line="240" w:lineRule="auto"/>
              <w:jc w:val="center"/>
              <w:rPr>
                <w:rFonts w:ascii="IPT Nazanin" w:eastAsia="Times New Roman" w:hAnsi="IPT Nazanin" w:cs="B Nazanin"/>
                <w:color w:val="000000"/>
                <w:lang w:bidi="ar-SA"/>
              </w:rPr>
            </w:pPr>
            <w:r w:rsidRPr="005E31A2">
              <w:rPr>
                <w:rFonts w:ascii="IPT Nazanin" w:eastAsia="Times New Roman" w:hAnsi="IPT Nazanin" w:cs="B Nazanin"/>
                <w:color w:val="000000"/>
                <w:lang w:bidi="ar-SA"/>
              </w:rPr>
              <w:t>3,265</w:t>
            </w:r>
          </w:p>
        </w:tc>
      </w:tr>
    </w:tbl>
    <w:p w14:paraId="59695A1F" w14:textId="77777777" w:rsidR="00187114" w:rsidRPr="00A92BDC" w:rsidRDefault="00187114" w:rsidP="006A3021">
      <w:pPr>
        <w:spacing w:after="0" w:line="240" w:lineRule="auto"/>
        <w:rPr>
          <w:rFonts w:ascii="IPT Nazanin" w:hAnsi="IPT Nazanin" w:cs="B Nazanin"/>
          <w:sz w:val="24"/>
          <w:szCs w:val="24"/>
        </w:rPr>
      </w:pPr>
    </w:p>
    <w:p w14:paraId="39B34362" w14:textId="77777777" w:rsidR="00187114" w:rsidRPr="00A92BDC" w:rsidRDefault="00187114" w:rsidP="00187114">
      <w:pPr>
        <w:spacing w:after="0" w:line="240" w:lineRule="auto"/>
        <w:jc w:val="center"/>
        <w:rPr>
          <w:rFonts w:ascii="IPT Nazanin" w:eastAsia="Times New Roman" w:hAnsi="IPT Nazanin" w:cs="B Nazanin"/>
          <w:b/>
          <w:bCs/>
          <w:color w:val="000000"/>
          <w:rtl/>
        </w:rPr>
      </w:pPr>
      <w:r w:rsidRPr="00A92BDC">
        <w:rPr>
          <w:rFonts w:ascii="IPT Nazanin" w:hAnsi="IPT Nazanin" w:cs="B Nazanin"/>
          <w:sz w:val="24"/>
          <w:szCs w:val="24"/>
          <w:rtl/>
        </w:rPr>
        <w:t>نمودار(1-1): تعداد معادن در حال بهره ‌برداری</w:t>
      </w:r>
    </w:p>
    <w:p w14:paraId="2D2CE490" w14:textId="5E887E35" w:rsidR="00187114" w:rsidRPr="00A92BDC" w:rsidRDefault="00610B67" w:rsidP="00187114">
      <w:pPr>
        <w:jc w:val="center"/>
        <w:rPr>
          <w:rFonts w:ascii="IPT Nazanin" w:hAnsi="IPT Nazanin" w:cs="B Nazanin"/>
          <w:sz w:val="28"/>
          <w:szCs w:val="28"/>
          <w:rtl/>
        </w:rPr>
      </w:pPr>
      <w:r>
        <w:rPr>
          <w:noProof/>
          <w:lang w:bidi="ar-SA"/>
        </w:rPr>
        <w:drawing>
          <wp:inline distT="0" distB="0" distL="0" distR="0" wp14:anchorId="355E9CB5" wp14:editId="4E5810B6">
            <wp:extent cx="5330825" cy="2966037"/>
            <wp:effectExtent l="76200" t="76200" r="79375" b="825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E49399C" w14:textId="5B4E9878" w:rsidR="00187114" w:rsidRDefault="00187114" w:rsidP="00187114">
      <w:pPr>
        <w:ind w:left="227" w:right="283"/>
        <w:jc w:val="both"/>
        <w:rPr>
          <w:rFonts w:ascii="IPT Nazanin" w:hAnsi="IPT Nazanin" w:cs="B Nazanin"/>
          <w:sz w:val="24"/>
          <w:szCs w:val="24"/>
          <w:rtl/>
        </w:rPr>
      </w:pPr>
      <w:r w:rsidRPr="00A92BDC">
        <w:rPr>
          <w:rFonts w:ascii="IPT Nazanin" w:hAnsi="IPT Nazanin" w:cs="B Nazanin"/>
          <w:sz w:val="24"/>
          <w:szCs w:val="24"/>
          <w:rtl/>
        </w:rPr>
        <w:t>تعداد معادن در حال بهره ‌برداری در سال</w:t>
      </w:r>
      <w:r w:rsidR="005E31A2">
        <w:rPr>
          <w:rFonts w:ascii="IPT Nazanin" w:hAnsi="IPT Nazanin" w:cs="B Nazanin" w:hint="cs"/>
          <w:sz w:val="24"/>
          <w:szCs w:val="24"/>
          <w:rtl/>
        </w:rPr>
        <w:t xml:space="preserve"> های 94 تا 96 روند کاهشی داشته است.</w:t>
      </w:r>
    </w:p>
    <w:p w14:paraId="713C07E3" w14:textId="77777777" w:rsidR="004F4DB8" w:rsidRPr="00A92BDC" w:rsidRDefault="004F4DB8" w:rsidP="00187114">
      <w:pPr>
        <w:ind w:left="227" w:right="283"/>
        <w:jc w:val="both"/>
        <w:rPr>
          <w:rFonts w:ascii="IPT Nazanin" w:hAnsi="IPT Nazanin" w:cs="B Nazanin" w:hint="cs"/>
          <w:sz w:val="24"/>
          <w:szCs w:val="24"/>
          <w:rtl/>
        </w:rPr>
      </w:pPr>
    </w:p>
    <w:p w14:paraId="4A33F295" w14:textId="77777777" w:rsidR="00187114" w:rsidRPr="00A92BDC" w:rsidRDefault="00187114" w:rsidP="00B24351">
      <w:pPr>
        <w:rPr>
          <w:rFonts w:ascii="IPT Nazanin" w:hAnsi="IPT Nazanin" w:cs="B Nazanin"/>
          <w:rtl/>
        </w:rPr>
      </w:pPr>
    </w:p>
    <w:p w14:paraId="45EE20F6"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lastRenderedPageBreak/>
        <w:t xml:space="preserve">نمودار(1-2): تعداد شرکت‌های تعاونی معدنی فعال </w:t>
      </w:r>
    </w:p>
    <w:p w14:paraId="5B73473F" w14:textId="33BA8A03" w:rsidR="00187114" w:rsidRPr="00A92BDC" w:rsidRDefault="00610B67" w:rsidP="00187114">
      <w:pPr>
        <w:jc w:val="center"/>
        <w:rPr>
          <w:rFonts w:ascii="IPT Nazanin" w:hAnsi="IPT Nazanin" w:cs="B Nazanin"/>
          <w:sz w:val="18"/>
          <w:szCs w:val="18"/>
          <w:rtl/>
        </w:rPr>
      </w:pPr>
      <w:r>
        <w:rPr>
          <w:noProof/>
          <w:lang w:bidi="ar-SA"/>
        </w:rPr>
        <w:drawing>
          <wp:inline distT="0" distB="0" distL="0" distR="0" wp14:anchorId="164D6BC9" wp14:editId="2E536377">
            <wp:extent cx="5808980" cy="2850776"/>
            <wp:effectExtent l="114300" t="114300" r="115570" b="12128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895E851" w14:textId="075228C3" w:rsidR="004F4DB8" w:rsidRDefault="000C48B3" w:rsidP="000C48B3">
      <w:pPr>
        <w:jc w:val="both"/>
        <w:rPr>
          <w:rFonts w:ascii="IPT Nazanin" w:hAnsi="IPT Nazanin" w:cs="B Nazanin"/>
          <w:sz w:val="24"/>
          <w:szCs w:val="24"/>
          <w:rtl/>
        </w:rPr>
      </w:pPr>
      <w:r w:rsidRPr="000C48B3">
        <w:rPr>
          <w:rFonts w:ascii="IPT Nazanin" w:hAnsi="IPT Nazanin" w:cs="B Nazanin" w:hint="cs"/>
          <w:sz w:val="24"/>
          <w:szCs w:val="24"/>
          <w:rtl/>
        </w:rPr>
        <w:t xml:space="preserve">تعداد شرکت های تعاونی فعال معدنی تا سال </w:t>
      </w:r>
      <w:r w:rsidR="004F4DB8">
        <w:rPr>
          <w:rFonts w:ascii="IPT Nazanin" w:hAnsi="IPT Nazanin" w:cs="B Nazanin" w:hint="cs"/>
          <w:sz w:val="24"/>
          <w:szCs w:val="24"/>
          <w:rtl/>
        </w:rPr>
        <w:t>95</w:t>
      </w:r>
      <w:r w:rsidRPr="000C48B3">
        <w:rPr>
          <w:rFonts w:ascii="IPT Nazanin" w:hAnsi="IPT Nazanin" w:cs="B Nazanin" w:hint="cs"/>
          <w:sz w:val="24"/>
          <w:szCs w:val="24"/>
          <w:rtl/>
        </w:rPr>
        <w:t xml:space="preserve"> ثابت مانده است</w:t>
      </w:r>
      <w:r w:rsidR="004F4DB8">
        <w:rPr>
          <w:rFonts w:ascii="IPT Nazanin" w:hAnsi="IPT Nazanin" w:cs="B Nazanin" w:hint="cs"/>
          <w:sz w:val="24"/>
          <w:szCs w:val="24"/>
          <w:rtl/>
        </w:rPr>
        <w:t>،</w:t>
      </w:r>
      <w:r w:rsidRPr="000C48B3">
        <w:rPr>
          <w:rFonts w:ascii="IPT Nazanin" w:hAnsi="IPT Nazanin" w:cs="B Nazanin" w:hint="cs"/>
          <w:sz w:val="24"/>
          <w:szCs w:val="24"/>
          <w:rtl/>
        </w:rPr>
        <w:t xml:space="preserve"> سپس رشد دو واحدی را در </w:t>
      </w:r>
      <w:r w:rsidR="004F4DB8">
        <w:rPr>
          <w:rFonts w:ascii="IPT Nazanin" w:hAnsi="IPT Nazanin" w:cs="B Nazanin" w:hint="cs"/>
          <w:sz w:val="24"/>
          <w:szCs w:val="24"/>
          <w:rtl/>
        </w:rPr>
        <w:t>بین سال های 98-96 تجربه کرده است.</w:t>
      </w:r>
    </w:p>
    <w:p w14:paraId="71765852" w14:textId="77777777" w:rsidR="004F4DB8" w:rsidRDefault="004F4DB8" w:rsidP="00187114">
      <w:pPr>
        <w:jc w:val="center"/>
        <w:rPr>
          <w:rFonts w:ascii="IPT Nazanin" w:hAnsi="IPT Nazanin" w:cs="B Nazanin"/>
          <w:sz w:val="24"/>
          <w:szCs w:val="24"/>
          <w:rtl/>
        </w:rPr>
      </w:pPr>
    </w:p>
    <w:p w14:paraId="23BB0BC7" w14:textId="75F274C3"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t xml:space="preserve">نمودار(1-3): تعداد اعضای شرکت‌های تعاونی فعال </w:t>
      </w:r>
    </w:p>
    <w:p w14:paraId="59BF9C72" w14:textId="12598D80" w:rsidR="00187114" w:rsidRPr="00A92BDC" w:rsidRDefault="00610B67" w:rsidP="00187114">
      <w:pPr>
        <w:jc w:val="center"/>
        <w:rPr>
          <w:rFonts w:ascii="IPT Nazanin" w:hAnsi="IPT Nazanin" w:cs="B Nazanin"/>
          <w:sz w:val="16"/>
          <w:szCs w:val="16"/>
          <w:rtl/>
        </w:rPr>
      </w:pPr>
      <w:r>
        <w:rPr>
          <w:noProof/>
          <w:lang w:bidi="ar-SA"/>
        </w:rPr>
        <w:drawing>
          <wp:inline distT="0" distB="0" distL="0" distR="0" wp14:anchorId="109615BC" wp14:editId="501B9163">
            <wp:extent cx="5809129" cy="2827655"/>
            <wp:effectExtent l="76200" t="76200" r="77470" b="6794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EF22350" w14:textId="77777777" w:rsidR="004F4DB8" w:rsidRDefault="004F4DB8" w:rsidP="00610B67">
      <w:pPr>
        <w:ind w:left="227"/>
        <w:jc w:val="both"/>
        <w:rPr>
          <w:rFonts w:ascii="IPT Nazanin" w:hAnsi="IPT Nazanin" w:cs="B Nazanin"/>
          <w:sz w:val="24"/>
          <w:szCs w:val="24"/>
          <w:rtl/>
        </w:rPr>
      </w:pPr>
      <w:r>
        <w:rPr>
          <w:rFonts w:ascii="IPT Nazanin" w:hAnsi="IPT Nazanin" w:cs="B Nazanin" w:hint="cs"/>
          <w:sz w:val="24"/>
          <w:szCs w:val="24"/>
          <w:rtl/>
        </w:rPr>
        <w:lastRenderedPageBreak/>
        <w:t>تعداد</w:t>
      </w:r>
      <w:r w:rsidR="00187114" w:rsidRPr="00A92BDC">
        <w:rPr>
          <w:rFonts w:ascii="IPT Nazanin" w:hAnsi="IPT Nazanin" w:cs="B Nazanin"/>
          <w:sz w:val="24"/>
          <w:szCs w:val="24"/>
          <w:rtl/>
        </w:rPr>
        <w:t xml:space="preserve"> اعضای شرکت‌های تعاونی معدنی </w:t>
      </w:r>
      <w:r>
        <w:rPr>
          <w:rFonts w:ascii="IPT Nazanin" w:hAnsi="IPT Nazanin" w:cs="B Nazanin" w:hint="cs"/>
          <w:sz w:val="24"/>
          <w:szCs w:val="24"/>
          <w:rtl/>
        </w:rPr>
        <w:t>تا</w:t>
      </w:r>
      <w:r w:rsidR="00187114" w:rsidRPr="00A92BDC">
        <w:rPr>
          <w:rFonts w:ascii="IPT Nazanin" w:hAnsi="IPT Nazanin" w:cs="B Nazanin"/>
          <w:sz w:val="24"/>
          <w:szCs w:val="24"/>
          <w:rtl/>
        </w:rPr>
        <w:t xml:space="preserve"> سال 95 </w:t>
      </w:r>
      <w:r>
        <w:rPr>
          <w:rFonts w:ascii="IPT Nazanin" w:hAnsi="IPT Nazanin" w:cs="B Nazanin" w:hint="cs"/>
          <w:sz w:val="24"/>
          <w:szCs w:val="24"/>
          <w:rtl/>
        </w:rPr>
        <w:t xml:space="preserve"> ثابت بوده است اما در سال 96 روند افزایش به خود گرفته است و این روند را تا سال 98 به صورت ثابت حفظ کرده است.</w:t>
      </w:r>
    </w:p>
    <w:p w14:paraId="7336BB85" w14:textId="77777777" w:rsidR="00187114" w:rsidRPr="00A92BDC" w:rsidRDefault="00187114" w:rsidP="00187114">
      <w:pPr>
        <w:jc w:val="center"/>
        <w:rPr>
          <w:rFonts w:ascii="IPT Nazanin" w:hAnsi="IPT Nazanin"/>
          <w:noProof/>
          <w:sz w:val="24"/>
          <w:szCs w:val="24"/>
          <w:rtl/>
        </w:rPr>
      </w:pPr>
      <w:r w:rsidRPr="00A92BDC">
        <w:rPr>
          <w:rFonts w:ascii="IPT Nazanin" w:hAnsi="IPT Nazanin" w:cs="B Nazanin"/>
          <w:sz w:val="24"/>
          <w:szCs w:val="24"/>
          <w:rtl/>
        </w:rPr>
        <w:t>نمودار(1-4): تعداد شاغلین شرکت</w:t>
      </w:r>
      <w:r w:rsidRPr="00A92BDC">
        <w:rPr>
          <w:rFonts w:ascii="IPT Nazanin" w:hAnsi="IPT Nazanin" w:cs="B Nazanin"/>
          <w:sz w:val="24"/>
          <w:szCs w:val="24"/>
          <w:rtl/>
        </w:rPr>
        <w:softHyphen/>
        <w:t xml:space="preserve">های تعاونی معدنی فعال </w:t>
      </w:r>
    </w:p>
    <w:p w14:paraId="15C4CF23" w14:textId="7EAE0A3F" w:rsidR="00187114" w:rsidRPr="00A92BDC" w:rsidRDefault="00610B67" w:rsidP="00187114">
      <w:pPr>
        <w:jc w:val="center"/>
        <w:rPr>
          <w:rFonts w:ascii="IPT Nazanin" w:hAnsi="IPT Nazanin" w:cs="B Nazanin"/>
          <w:sz w:val="28"/>
          <w:szCs w:val="28"/>
          <w:rtl/>
        </w:rPr>
      </w:pPr>
      <w:r>
        <w:rPr>
          <w:noProof/>
          <w:lang w:bidi="ar-SA"/>
        </w:rPr>
        <w:drawing>
          <wp:inline distT="0" distB="0" distL="0" distR="0" wp14:anchorId="75CC1A81" wp14:editId="4CA575E8">
            <wp:extent cx="5763026" cy="2858135"/>
            <wp:effectExtent l="76200" t="76200" r="66675" b="7556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187114" w:rsidRPr="00A92BDC">
        <w:rPr>
          <w:rFonts w:ascii="IPT Nazanin" w:hAnsi="IPT Nazanin" w:cs="B Nazanin"/>
          <w:rtl/>
        </w:rPr>
        <w:t xml:space="preserve"> </w:t>
      </w:r>
    </w:p>
    <w:p w14:paraId="0462E708" w14:textId="4FF5CCF1" w:rsidR="004F4DB8" w:rsidRDefault="00187114" w:rsidP="00060F62">
      <w:pPr>
        <w:spacing w:line="240" w:lineRule="auto"/>
        <w:ind w:left="283" w:right="227"/>
        <w:jc w:val="both"/>
        <w:rPr>
          <w:rFonts w:ascii="IPT Nazanin" w:hAnsi="IPT Nazanin" w:cs="B Nazanin"/>
          <w:sz w:val="24"/>
          <w:szCs w:val="24"/>
          <w:rtl/>
        </w:rPr>
      </w:pPr>
      <w:r w:rsidRPr="00A92BDC">
        <w:rPr>
          <w:rFonts w:ascii="IPT Nazanin" w:hAnsi="IPT Nazanin" w:cs="B Nazanin"/>
          <w:sz w:val="24"/>
          <w:szCs w:val="24"/>
          <w:rtl/>
        </w:rPr>
        <w:t xml:space="preserve">تعداد شاغلین شرکت‌های تعاونی معدنی در سال‌های </w:t>
      </w:r>
      <w:r w:rsidR="004F4DB8">
        <w:rPr>
          <w:rFonts w:ascii="IPT Nazanin" w:hAnsi="IPT Nazanin" w:cs="B Nazanin" w:hint="cs"/>
          <w:sz w:val="24"/>
          <w:szCs w:val="24"/>
          <w:rtl/>
        </w:rPr>
        <w:t>96-95</w:t>
      </w:r>
      <w:r w:rsidRPr="00A92BDC">
        <w:rPr>
          <w:rFonts w:ascii="IPT Nazanin" w:hAnsi="IPT Nazanin" w:cs="B Nazanin"/>
          <w:sz w:val="24"/>
          <w:szCs w:val="24"/>
          <w:rtl/>
        </w:rPr>
        <w:t xml:space="preserve"> </w:t>
      </w:r>
      <w:r w:rsidR="00060F62">
        <w:rPr>
          <w:rFonts w:ascii="IPT Nazanin" w:hAnsi="IPT Nazanin" w:cs="B Nazanin" w:hint="cs"/>
          <w:sz w:val="24"/>
          <w:szCs w:val="24"/>
          <w:rtl/>
        </w:rPr>
        <w:t xml:space="preserve">روند </w:t>
      </w:r>
      <w:r w:rsidR="004F4DB8">
        <w:rPr>
          <w:rFonts w:ascii="IPT Nazanin" w:hAnsi="IPT Nazanin" w:cs="B Nazanin" w:hint="cs"/>
          <w:sz w:val="24"/>
          <w:szCs w:val="24"/>
          <w:rtl/>
        </w:rPr>
        <w:t>کاهشی</w:t>
      </w:r>
      <w:r w:rsidR="00060F62">
        <w:rPr>
          <w:rFonts w:ascii="IPT Nazanin" w:hAnsi="IPT Nazanin" w:cs="B Nazanin" w:hint="cs"/>
          <w:sz w:val="24"/>
          <w:szCs w:val="24"/>
          <w:rtl/>
        </w:rPr>
        <w:t xml:space="preserve"> را طی کرده است سپس </w:t>
      </w:r>
      <w:r w:rsidR="004F4DB8">
        <w:rPr>
          <w:rFonts w:ascii="IPT Nazanin" w:hAnsi="IPT Nazanin" w:cs="B Nazanin" w:hint="cs"/>
          <w:sz w:val="24"/>
          <w:szCs w:val="24"/>
          <w:rtl/>
        </w:rPr>
        <w:t>در</w:t>
      </w:r>
      <w:r w:rsidR="00060F62">
        <w:rPr>
          <w:rFonts w:ascii="IPT Nazanin" w:hAnsi="IPT Nazanin" w:cs="B Nazanin" w:hint="cs"/>
          <w:sz w:val="24"/>
          <w:szCs w:val="24"/>
          <w:rtl/>
        </w:rPr>
        <w:t xml:space="preserve"> سال </w:t>
      </w:r>
      <w:r w:rsidR="004F4DB8">
        <w:rPr>
          <w:rFonts w:ascii="IPT Nazanin" w:hAnsi="IPT Nazanin" w:cs="B Nazanin" w:hint="cs"/>
          <w:sz w:val="24"/>
          <w:szCs w:val="24"/>
          <w:rtl/>
        </w:rPr>
        <w:t>97</w:t>
      </w:r>
      <w:r w:rsidR="00060F62">
        <w:rPr>
          <w:rFonts w:ascii="IPT Nazanin" w:hAnsi="IPT Nazanin" w:cs="B Nazanin" w:hint="cs"/>
          <w:sz w:val="24"/>
          <w:szCs w:val="24"/>
          <w:rtl/>
        </w:rPr>
        <w:t xml:space="preserve"> </w:t>
      </w:r>
      <w:r w:rsidR="004F4DB8">
        <w:rPr>
          <w:rFonts w:ascii="IPT Nazanin" w:hAnsi="IPT Nazanin" w:cs="B Nazanin" w:hint="cs"/>
          <w:sz w:val="24"/>
          <w:szCs w:val="24"/>
          <w:rtl/>
        </w:rPr>
        <w:t>افزایش پیدا کرده است. مجددا در سال 98 روند کاهشی را نسبت به سال قبل تجربه نموده است. در مجموع، این شاخص در سال 98 کاهش قابل ملاحظه ای را نسبت به سال 94 داشته است.</w:t>
      </w:r>
    </w:p>
    <w:p w14:paraId="6F602029" w14:textId="77777777" w:rsidR="00187114" w:rsidRPr="00A92BDC" w:rsidRDefault="00187114" w:rsidP="00187114">
      <w:pPr>
        <w:jc w:val="center"/>
        <w:rPr>
          <w:rFonts w:ascii="IPT Nazanin" w:hAnsi="IPT Nazanin" w:cs="B Nazanin"/>
          <w:sz w:val="20"/>
          <w:szCs w:val="20"/>
          <w:rtl/>
        </w:rPr>
      </w:pPr>
      <w:r w:rsidRPr="00A92BDC">
        <w:rPr>
          <w:rFonts w:ascii="IPT Nazanin" w:hAnsi="IPT Nazanin" w:cs="B Nazanin"/>
          <w:sz w:val="24"/>
          <w:szCs w:val="24"/>
          <w:rtl/>
        </w:rPr>
        <w:t xml:space="preserve">نمودار(1-5): سرمایه شرکت‌های تعاونی معدنی فعال </w:t>
      </w:r>
    </w:p>
    <w:p w14:paraId="55BEBA28" w14:textId="53711A64" w:rsidR="00187114" w:rsidRPr="00A92BDC" w:rsidRDefault="00610B67" w:rsidP="00187114">
      <w:pPr>
        <w:jc w:val="center"/>
        <w:rPr>
          <w:rFonts w:ascii="IPT Nazanin" w:hAnsi="IPT Nazanin" w:cs="B Nazanin"/>
          <w:sz w:val="18"/>
          <w:szCs w:val="18"/>
          <w:rtl/>
        </w:rPr>
      </w:pPr>
      <w:r>
        <w:rPr>
          <w:noProof/>
          <w:lang w:bidi="ar-SA"/>
        </w:rPr>
        <w:drawing>
          <wp:inline distT="0" distB="0" distL="0" distR="0" wp14:anchorId="350E550E" wp14:editId="02A91130">
            <wp:extent cx="5801445" cy="2696845"/>
            <wp:effectExtent l="76200" t="76200" r="85090" b="8445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5D73651" w14:textId="614EBF88" w:rsidR="004F4DB8" w:rsidRDefault="00187114" w:rsidP="00187114">
      <w:pPr>
        <w:ind w:left="283"/>
        <w:jc w:val="both"/>
        <w:rPr>
          <w:rFonts w:ascii="IPT Nazanin" w:hAnsi="IPT Nazanin" w:cs="B Nazanin"/>
          <w:sz w:val="24"/>
          <w:szCs w:val="24"/>
          <w:rtl/>
        </w:rPr>
      </w:pPr>
      <w:r w:rsidRPr="00A92BDC">
        <w:rPr>
          <w:rFonts w:ascii="IPT Nazanin" w:hAnsi="IPT Nazanin" w:cs="B Nazanin"/>
          <w:sz w:val="24"/>
          <w:szCs w:val="24"/>
          <w:rtl/>
        </w:rPr>
        <w:lastRenderedPageBreak/>
        <w:t>میزان سرمایه شرکت‌های تعاونی معدنی در</w:t>
      </w:r>
      <w:r w:rsidR="004F4DB8">
        <w:rPr>
          <w:rFonts w:ascii="IPT Nazanin" w:hAnsi="IPT Nazanin" w:cs="B Nazanin" w:hint="cs"/>
          <w:sz w:val="24"/>
          <w:szCs w:val="24"/>
          <w:rtl/>
        </w:rPr>
        <w:t xml:space="preserve"> بین</w:t>
      </w:r>
      <w:r w:rsidRPr="00A92BDC">
        <w:rPr>
          <w:rFonts w:ascii="IPT Nazanin" w:hAnsi="IPT Nazanin" w:cs="B Nazanin"/>
          <w:sz w:val="24"/>
          <w:szCs w:val="24"/>
          <w:rtl/>
        </w:rPr>
        <w:t xml:space="preserve"> سال</w:t>
      </w:r>
      <w:r w:rsidR="004F4DB8">
        <w:rPr>
          <w:rFonts w:ascii="IPT Nazanin" w:hAnsi="IPT Nazanin" w:cs="B Nazanin" w:hint="cs"/>
          <w:sz w:val="24"/>
          <w:szCs w:val="24"/>
          <w:rtl/>
        </w:rPr>
        <w:t xml:space="preserve"> های 98-96 ثابت بوده است. همچنین این شاخص در سال 96 نسبت به سال قبل، افزایش قابل تاملی را پیموده است.</w:t>
      </w:r>
    </w:p>
    <w:p w14:paraId="2516AB0F" w14:textId="77777777" w:rsidR="004F4DB8" w:rsidRDefault="004F4DB8" w:rsidP="00187114">
      <w:pPr>
        <w:ind w:left="283"/>
        <w:jc w:val="both"/>
        <w:rPr>
          <w:rFonts w:ascii="IPT Nazanin" w:hAnsi="IPT Nazanin" w:cs="B Nazanin"/>
          <w:sz w:val="24"/>
          <w:szCs w:val="24"/>
          <w:rtl/>
        </w:rPr>
      </w:pPr>
    </w:p>
    <w:p w14:paraId="26A23E57" w14:textId="77777777" w:rsidR="00187114" w:rsidRPr="00A92BDC" w:rsidRDefault="00187114" w:rsidP="00187114">
      <w:pPr>
        <w:rPr>
          <w:rFonts w:ascii="IPT Nazanin" w:hAnsi="IPT Nazanin" w:cs="B Nazanin"/>
          <w:b/>
          <w:bCs/>
          <w:sz w:val="26"/>
          <w:szCs w:val="26"/>
          <w:rtl/>
        </w:rPr>
      </w:pPr>
      <w:r w:rsidRPr="00A92BDC">
        <w:rPr>
          <w:rFonts w:ascii="IPT Nazanin" w:hAnsi="IPT Nazanin" w:cs="B Nazanin"/>
          <w:b/>
          <w:bCs/>
          <w:sz w:val="26"/>
          <w:szCs w:val="26"/>
          <w:rtl/>
        </w:rPr>
        <w:t>1-2- بخش ترکیب دارایی</w:t>
      </w:r>
    </w:p>
    <w:p w14:paraId="393E4960"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t>جدول (2-1): اطلاعات مربوط به شاخص</w:t>
      </w:r>
      <w:r w:rsidRPr="00A92BDC">
        <w:rPr>
          <w:rFonts w:ascii="IPT Nazanin" w:hAnsi="IPT Nazanin" w:cs="B Nazanin"/>
          <w:sz w:val="24"/>
          <w:szCs w:val="24"/>
          <w:rtl/>
        </w:rPr>
        <w:softHyphen/>
        <w:t>های بخش ترکیب دارایی</w:t>
      </w:r>
    </w:p>
    <w:tbl>
      <w:tblPr>
        <w:bidiVisual/>
        <w:tblW w:w="9279" w:type="dxa"/>
        <w:tblLook w:val="04A0" w:firstRow="1" w:lastRow="0" w:firstColumn="1" w:lastColumn="0" w:noHBand="0" w:noVBand="1"/>
      </w:tblPr>
      <w:tblGrid>
        <w:gridCol w:w="2064"/>
        <w:gridCol w:w="782"/>
        <w:gridCol w:w="1285"/>
        <w:gridCol w:w="1284"/>
        <w:gridCol w:w="1284"/>
        <w:gridCol w:w="1285"/>
        <w:gridCol w:w="1295"/>
      </w:tblGrid>
      <w:tr w:rsidR="00610B67" w:rsidRPr="00610B67" w14:paraId="183B6DEB" w14:textId="77777777" w:rsidTr="00610B67">
        <w:trPr>
          <w:trHeight w:val="200"/>
        </w:trPr>
        <w:tc>
          <w:tcPr>
            <w:tcW w:w="2177"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B300F79" w14:textId="77777777" w:rsidR="00610B67" w:rsidRPr="00610B67" w:rsidRDefault="00610B67" w:rsidP="00610B67">
            <w:pPr>
              <w:spacing w:after="0" w:line="240" w:lineRule="auto"/>
              <w:jc w:val="center"/>
              <w:rPr>
                <w:rFonts w:ascii="Calibri" w:eastAsia="Times New Roman" w:hAnsi="Calibri" w:cs="B Nazanin"/>
                <w:b/>
                <w:bCs/>
                <w:color w:val="262626"/>
                <w:lang w:bidi="ar-SA"/>
              </w:rPr>
            </w:pPr>
            <w:r w:rsidRPr="00610B67">
              <w:rPr>
                <w:rFonts w:ascii="Calibri" w:eastAsia="Times New Roman" w:hAnsi="Calibri" w:cs="B Nazanin" w:hint="cs"/>
                <w:b/>
                <w:bCs/>
                <w:color w:val="262626"/>
                <w:rtl/>
                <w:lang w:bidi="ar-SA"/>
              </w:rPr>
              <w:t>شاخص</w:t>
            </w:r>
          </w:p>
        </w:tc>
        <w:tc>
          <w:tcPr>
            <w:tcW w:w="469"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DCE831B"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معیار سنجش</w:t>
            </w:r>
          </w:p>
        </w:tc>
        <w:tc>
          <w:tcPr>
            <w:tcW w:w="1323"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68856BC"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سال94</w:t>
            </w:r>
          </w:p>
        </w:tc>
        <w:tc>
          <w:tcPr>
            <w:tcW w:w="1323" w:type="dxa"/>
            <w:tcBorders>
              <w:top w:val="single" w:sz="4" w:space="0" w:color="auto"/>
              <w:left w:val="single" w:sz="4" w:space="0" w:color="auto"/>
              <w:bottom w:val="single" w:sz="4" w:space="0" w:color="auto"/>
              <w:right w:val="nil"/>
            </w:tcBorders>
            <w:shd w:val="clear" w:color="000000" w:fill="BDD7EE"/>
            <w:vAlign w:val="center"/>
            <w:hideMark/>
          </w:tcPr>
          <w:p w14:paraId="77743F6A"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سال95</w:t>
            </w:r>
          </w:p>
        </w:tc>
        <w:tc>
          <w:tcPr>
            <w:tcW w:w="1323"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1B1AC89"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سال96</w:t>
            </w:r>
          </w:p>
        </w:tc>
        <w:tc>
          <w:tcPr>
            <w:tcW w:w="1323"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834D451"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سال97</w:t>
            </w:r>
          </w:p>
        </w:tc>
        <w:tc>
          <w:tcPr>
            <w:tcW w:w="134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7DC20B60" w14:textId="77777777" w:rsidR="00610B67" w:rsidRPr="00610B67" w:rsidRDefault="00610B67" w:rsidP="00610B67">
            <w:pPr>
              <w:spacing w:after="0" w:line="240" w:lineRule="auto"/>
              <w:jc w:val="center"/>
              <w:rPr>
                <w:rFonts w:ascii="Calibri" w:eastAsia="Times New Roman" w:hAnsi="Calibri" w:cs="B Nazanin"/>
                <w:b/>
                <w:bCs/>
                <w:color w:val="262626"/>
                <w:rtl/>
                <w:lang w:bidi="ar-SA"/>
              </w:rPr>
            </w:pPr>
            <w:r w:rsidRPr="00610B67">
              <w:rPr>
                <w:rFonts w:ascii="Calibri" w:eastAsia="Times New Roman" w:hAnsi="Calibri" w:cs="B Nazanin" w:hint="cs"/>
                <w:b/>
                <w:bCs/>
                <w:color w:val="262626"/>
                <w:rtl/>
                <w:lang w:bidi="ar-SA"/>
              </w:rPr>
              <w:t>سال98</w:t>
            </w:r>
          </w:p>
        </w:tc>
      </w:tr>
      <w:tr w:rsidR="00610B67" w:rsidRPr="00610B67" w14:paraId="26E06FF8" w14:textId="77777777" w:rsidTr="00610B67">
        <w:trPr>
          <w:trHeight w:val="548"/>
        </w:trPr>
        <w:tc>
          <w:tcPr>
            <w:tcW w:w="2177" w:type="dxa"/>
            <w:tcBorders>
              <w:top w:val="nil"/>
              <w:left w:val="single" w:sz="4" w:space="0" w:color="auto"/>
              <w:bottom w:val="single" w:sz="4" w:space="0" w:color="auto"/>
              <w:right w:val="single" w:sz="4" w:space="0" w:color="auto"/>
            </w:tcBorders>
            <w:shd w:val="clear" w:color="000000" w:fill="BDD7EE"/>
            <w:vAlign w:val="center"/>
            <w:hideMark/>
          </w:tcPr>
          <w:p w14:paraId="3D887965" w14:textId="77777777" w:rsidR="00610B67" w:rsidRPr="00610B67" w:rsidRDefault="00610B67" w:rsidP="00610B67">
            <w:pPr>
              <w:spacing w:after="0" w:line="240" w:lineRule="auto"/>
              <w:jc w:val="center"/>
              <w:rPr>
                <w:rFonts w:ascii="Calibri" w:eastAsia="Times New Roman" w:hAnsi="Calibri" w:cs="B Nazanin"/>
                <w:b/>
                <w:bCs/>
                <w:color w:val="262626"/>
                <w:lang w:bidi="ar-SA"/>
              </w:rPr>
            </w:pPr>
            <w:r w:rsidRPr="00610B67">
              <w:rPr>
                <w:rFonts w:ascii="Calibri" w:eastAsia="Times New Roman" w:hAnsi="Calibri" w:cs="B Nazanin" w:hint="cs"/>
                <w:b/>
                <w:bCs/>
                <w:color w:val="262626"/>
                <w:rtl/>
                <w:lang w:bidi="ar-SA"/>
              </w:rPr>
              <w:t>ارزش کل سرمایه گذاری معادن در حال بهره برداری</w:t>
            </w:r>
          </w:p>
        </w:tc>
        <w:tc>
          <w:tcPr>
            <w:tcW w:w="469" w:type="dxa"/>
            <w:tcBorders>
              <w:top w:val="nil"/>
              <w:left w:val="single" w:sz="4" w:space="0" w:color="auto"/>
              <w:bottom w:val="single" w:sz="4" w:space="0" w:color="auto"/>
              <w:right w:val="single" w:sz="4" w:space="0" w:color="auto"/>
            </w:tcBorders>
            <w:shd w:val="clear" w:color="000000" w:fill="F3F7FB"/>
            <w:vAlign w:val="center"/>
            <w:hideMark/>
          </w:tcPr>
          <w:p w14:paraId="37A5F221" w14:textId="77777777" w:rsidR="00610B67" w:rsidRPr="00610B67" w:rsidRDefault="00610B67" w:rsidP="00610B67">
            <w:pPr>
              <w:spacing w:after="0" w:line="240" w:lineRule="auto"/>
              <w:jc w:val="center"/>
              <w:rPr>
                <w:rFonts w:ascii="Calibri" w:eastAsia="Times New Roman" w:hAnsi="Calibri" w:cs="B Nazanin"/>
                <w:color w:val="000000"/>
                <w:rtl/>
                <w:lang w:bidi="ar-SA"/>
              </w:rPr>
            </w:pPr>
            <w:r w:rsidRPr="00610B67">
              <w:rPr>
                <w:rFonts w:ascii="Calibri" w:eastAsia="Times New Roman" w:hAnsi="Calibri" w:cs="B Nazanin" w:hint="cs"/>
                <w:color w:val="000000"/>
                <w:rtl/>
                <w:lang w:bidi="ar-SA"/>
              </w:rPr>
              <w:t>میلیون ریال</w:t>
            </w:r>
          </w:p>
        </w:tc>
        <w:tc>
          <w:tcPr>
            <w:tcW w:w="1323" w:type="dxa"/>
            <w:tcBorders>
              <w:top w:val="nil"/>
              <w:left w:val="single" w:sz="4" w:space="0" w:color="auto"/>
              <w:bottom w:val="single" w:sz="4" w:space="0" w:color="auto"/>
              <w:right w:val="single" w:sz="4" w:space="0" w:color="auto"/>
            </w:tcBorders>
            <w:shd w:val="clear" w:color="000000" w:fill="F3F7FB"/>
            <w:vAlign w:val="center"/>
            <w:hideMark/>
          </w:tcPr>
          <w:p w14:paraId="7446BF0A" w14:textId="77777777" w:rsidR="00610B67" w:rsidRPr="004F4DB8" w:rsidRDefault="00610B67" w:rsidP="00610B67">
            <w:pPr>
              <w:bidi w:val="0"/>
              <w:spacing w:after="0" w:line="240" w:lineRule="auto"/>
              <w:jc w:val="center"/>
              <w:rPr>
                <w:rFonts w:ascii="IPT Nazanin" w:eastAsia="Times New Roman" w:hAnsi="IPT Nazanin" w:cs="Calibri"/>
                <w:color w:val="000000"/>
                <w:rtl/>
                <w:lang w:bidi="ar-SA"/>
              </w:rPr>
            </w:pP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p>
        </w:tc>
        <w:tc>
          <w:tcPr>
            <w:tcW w:w="1323" w:type="dxa"/>
            <w:tcBorders>
              <w:top w:val="nil"/>
              <w:left w:val="single" w:sz="4" w:space="0" w:color="auto"/>
              <w:bottom w:val="single" w:sz="4" w:space="0" w:color="auto"/>
              <w:right w:val="single" w:sz="4" w:space="0" w:color="auto"/>
            </w:tcBorders>
            <w:shd w:val="clear" w:color="000000" w:fill="F3F7FB"/>
            <w:vAlign w:val="center"/>
            <w:hideMark/>
          </w:tcPr>
          <w:p w14:paraId="591BE7C7" w14:textId="77777777" w:rsidR="00610B67" w:rsidRPr="004F4DB8" w:rsidRDefault="00610B67" w:rsidP="00610B67">
            <w:pPr>
              <w:bidi w:val="0"/>
              <w:spacing w:after="0" w:line="240" w:lineRule="auto"/>
              <w:jc w:val="center"/>
              <w:rPr>
                <w:rFonts w:ascii="IPT Nazanin" w:eastAsia="Times New Roman" w:hAnsi="IPT Nazanin" w:cs="Calibri"/>
                <w:color w:val="000000"/>
                <w:lang w:bidi="ar-SA"/>
              </w:rPr>
            </w:pP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p>
        </w:tc>
        <w:tc>
          <w:tcPr>
            <w:tcW w:w="1323" w:type="dxa"/>
            <w:tcBorders>
              <w:top w:val="nil"/>
              <w:left w:val="single" w:sz="4" w:space="0" w:color="auto"/>
              <w:bottom w:val="single" w:sz="4" w:space="0" w:color="auto"/>
              <w:right w:val="single" w:sz="4" w:space="0" w:color="auto"/>
            </w:tcBorders>
            <w:shd w:val="clear" w:color="000000" w:fill="F3F7FB"/>
            <w:vAlign w:val="center"/>
            <w:hideMark/>
          </w:tcPr>
          <w:p w14:paraId="1E97B4F5" w14:textId="77777777" w:rsidR="00610B67" w:rsidRPr="004F4DB8" w:rsidRDefault="00610B67" w:rsidP="00610B67">
            <w:pPr>
              <w:bidi w:val="0"/>
              <w:spacing w:after="0" w:line="240" w:lineRule="auto"/>
              <w:jc w:val="center"/>
              <w:rPr>
                <w:rFonts w:ascii="IPT Nazanin" w:eastAsia="Times New Roman" w:hAnsi="IPT Nazanin" w:cs="Calibri"/>
                <w:color w:val="000000"/>
                <w:lang w:bidi="ar-SA"/>
              </w:rPr>
            </w:pP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p>
        </w:tc>
        <w:tc>
          <w:tcPr>
            <w:tcW w:w="1323" w:type="dxa"/>
            <w:tcBorders>
              <w:top w:val="nil"/>
              <w:left w:val="single" w:sz="4" w:space="0" w:color="auto"/>
              <w:bottom w:val="single" w:sz="4" w:space="0" w:color="auto"/>
              <w:right w:val="single" w:sz="4" w:space="0" w:color="auto"/>
            </w:tcBorders>
            <w:shd w:val="clear" w:color="000000" w:fill="F3F7FB"/>
            <w:vAlign w:val="center"/>
            <w:hideMark/>
          </w:tcPr>
          <w:p w14:paraId="3D05D18D" w14:textId="77777777" w:rsidR="00610B67" w:rsidRPr="004F4DB8" w:rsidRDefault="00610B67" w:rsidP="00610B67">
            <w:pPr>
              <w:bidi w:val="0"/>
              <w:spacing w:after="0" w:line="240" w:lineRule="auto"/>
              <w:jc w:val="center"/>
              <w:rPr>
                <w:rFonts w:ascii="IPT Nazanin" w:eastAsia="Times New Roman" w:hAnsi="IPT Nazanin" w:cs="Calibri"/>
                <w:color w:val="000000"/>
                <w:lang w:bidi="ar-SA"/>
              </w:rPr>
            </w:pP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r w:rsidRPr="004F4DB8">
              <w:rPr>
                <w:rFonts w:ascii="IPT Nazanin" w:eastAsia="Times New Roman" w:hAnsi="IPT Nazanin" w:cs="Calibri"/>
                <w:color w:val="000000"/>
                <w:lang w:bidi="ar-SA"/>
              </w:rPr>
              <w:t></w:t>
            </w:r>
          </w:p>
        </w:tc>
        <w:tc>
          <w:tcPr>
            <w:tcW w:w="1341" w:type="dxa"/>
            <w:tcBorders>
              <w:top w:val="nil"/>
              <w:left w:val="single" w:sz="4" w:space="0" w:color="auto"/>
              <w:bottom w:val="single" w:sz="4" w:space="0" w:color="auto"/>
              <w:right w:val="single" w:sz="4" w:space="0" w:color="auto"/>
            </w:tcBorders>
            <w:shd w:val="clear" w:color="000000" w:fill="F3F7FB"/>
            <w:vAlign w:val="center"/>
            <w:hideMark/>
          </w:tcPr>
          <w:p w14:paraId="2344F10E" w14:textId="77777777" w:rsidR="00610B67" w:rsidRPr="004F4DB8" w:rsidRDefault="00610B67" w:rsidP="00610B67">
            <w:pPr>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rtl/>
                <w:lang w:bidi="ar-SA"/>
              </w:rPr>
              <w:t>عدم وجود اطلاعات</w:t>
            </w:r>
          </w:p>
        </w:tc>
      </w:tr>
    </w:tbl>
    <w:p w14:paraId="10F35689" w14:textId="77777777" w:rsidR="00187114" w:rsidRPr="00A92BDC" w:rsidRDefault="00187114" w:rsidP="00187114">
      <w:pPr>
        <w:jc w:val="center"/>
        <w:rPr>
          <w:rFonts w:ascii="IPT Nazanin" w:hAnsi="IPT Nazanin" w:cs="B Nazanin"/>
          <w:rtl/>
        </w:rPr>
      </w:pPr>
    </w:p>
    <w:p w14:paraId="2F94B58B" w14:textId="77777777" w:rsidR="00187114" w:rsidRPr="00A92BDC" w:rsidRDefault="00187114" w:rsidP="00187114">
      <w:pPr>
        <w:jc w:val="center"/>
        <w:rPr>
          <w:rFonts w:ascii="IPT Nazanin" w:hAnsi="IPT Nazanin" w:cs="B Nazanin"/>
          <w:sz w:val="24"/>
          <w:szCs w:val="24"/>
          <w:rtl/>
        </w:rPr>
      </w:pPr>
    </w:p>
    <w:p w14:paraId="77055F99" w14:textId="77777777" w:rsidR="00187114" w:rsidRPr="00A92BDC" w:rsidRDefault="00187114" w:rsidP="00187114">
      <w:pPr>
        <w:jc w:val="center"/>
        <w:rPr>
          <w:rFonts w:ascii="IPT Nazanin" w:hAnsi="IPT Nazanin" w:cs="B Nazanin"/>
          <w:sz w:val="24"/>
          <w:szCs w:val="24"/>
          <w:rtl/>
        </w:rPr>
      </w:pPr>
    </w:p>
    <w:p w14:paraId="24316313"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t>نمودار(2-1): سرمایه‌گذاری(ارزش تغییرات اموال سرمایه‌ای) معادن در حال بهره برداری</w:t>
      </w:r>
    </w:p>
    <w:p w14:paraId="15B2985C" w14:textId="7313148F" w:rsidR="00187114" w:rsidRPr="00A92BDC" w:rsidRDefault="00610B67" w:rsidP="00187114">
      <w:pPr>
        <w:jc w:val="center"/>
        <w:rPr>
          <w:rFonts w:ascii="IPT Nazanin" w:hAnsi="IPT Nazanin" w:cs="B Nazanin"/>
          <w:rtl/>
        </w:rPr>
      </w:pPr>
      <w:r>
        <w:rPr>
          <w:noProof/>
          <w:lang w:bidi="ar-SA"/>
        </w:rPr>
        <w:drawing>
          <wp:inline distT="0" distB="0" distL="0" distR="0" wp14:anchorId="3E08A02B" wp14:editId="3647A990">
            <wp:extent cx="5878286" cy="2781300"/>
            <wp:effectExtent l="76200" t="76200" r="84455" b="7620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9460676" w14:textId="4AB6FECF" w:rsidR="004F4DB8" w:rsidRDefault="00187114" w:rsidP="00D6621B">
      <w:pPr>
        <w:spacing w:line="240" w:lineRule="auto"/>
        <w:ind w:left="227" w:right="227"/>
        <w:jc w:val="both"/>
        <w:rPr>
          <w:rFonts w:ascii="IPT Nazanin" w:hAnsi="IPT Nazanin" w:cs="B Nazanin"/>
          <w:sz w:val="24"/>
          <w:szCs w:val="24"/>
          <w:rtl/>
        </w:rPr>
      </w:pPr>
      <w:r w:rsidRPr="00A92BDC">
        <w:rPr>
          <w:rFonts w:ascii="IPT Nazanin" w:hAnsi="IPT Nazanin" w:cs="B Nazanin"/>
          <w:sz w:val="24"/>
          <w:szCs w:val="24"/>
          <w:rtl/>
        </w:rPr>
        <w:t>ارزش کل سرمایه‌گذاری معادن در حال بهره برداری در سال</w:t>
      </w:r>
      <w:r w:rsidR="004F4DB8">
        <w:rPr>
          <w:rFonts w:ascii="IPT Nazanin" w:hAnsi="IPT Nazanin" w:cs="B Nazanin" w:hint="cs"/>
          <w:sz w:val="24"/>
          <w:szCs w:val="24"/>
          <w:rtl/>
        </w:rPr>
        <w:t xml:space="preserve"> های 96-95 روند کاهشی داشته است، سپس در سال 97 افزایش پیدا کرده است. اطلاعاتی از این شاخص در سال 98 موجود نیست.</w:t>
      </w:r>
    </w:p>
    <w:p w14:paraId="315F226C" w14:textId="3B09EF5B" w:rsidR="00187114" w:rsidRDefault="00187114" w:rsidP="00187114">
      <w:pPr>
        <w:rPr>
          <w:rFonts w:ascii="IPT Nazanin" w:hAnsi="IPT Nazanin" w:cs="B Nazanin"/>
          <w:rtl/>
        </w:rPr>
      </w:pPr>
    </w:p>
    <w:p w14:paraId="29B84D59" w14:textId="77777777" w:rsidR="00187114" w:rsidRPr="00A92BDC" w:rsidRDefault="00187114" w:rsidP="00187114">
      <w:pPr>
        <w:rPr>
          <w:rFonts w:ascii="IPT Nazanin" w:hAnsi="IPT Nazanin" w:cs="B Nazanin"/>
          <w:b/>
          <w:bCs/>
          <w:sz w:val="26"/>
          <w:szCs w:val="26"/>
          <w:rtl/>
        </w:rPr>
      </w:pPr>
      <w:r w:rsidRPr="00A92BDC">
        <w:rPr>
          <w:rFonts w:ascii="IPT Nazanin" w:hAnsi="IPT Nazanin" w:cs="B Nazanin"/>
          <w:b/>
          <w:bCs/>
          <w:sz w:val="26"/>
          <w:szCs w:val="26"/>
          <w:rtl/>
        </w:rPr>
        <w:lastRenderedPageBreak/>
        <w:t>1-3- بخش مالی</w:t>
      </w:r>
    </w:p>
    <w:p w14:paraId="1E7C0715"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t>جدول (3-1): اطلاعات مربوط به شاخص</w:t>
      </w:r>
      <w:r w:rsidRPr="00A92BDC">
        <w:rPr>
          <w:rFonts w:ascii="IPT Nazanin" w:hAnsi="IPT Nazanin" w:cs="B Nazanin"/>
          <w:sz w:val="24"/>
          <w:szCs w:val="24"/>
          <w:rtl/>
        </w:rPr>
        <w:softHyphen/>
        <w:t>های بخش مالی</w:t>
      </w:r>
    </w:p>
    <w:p w14:paraId="17286981" w14:textId="77777777" w:rsidR="00187114" w:rsidRPr="00A92BDC" w:rsidRDefault="00187114" w:rsidP="00187114">
      <w:pPr>
        <w:jc w:val="center"/>
        <w:rPr>
          <w:rFonts w:ascii="IPT Nazanin" w:hAnsi="IPT Nazanin" w:cs="B Nazanin"/>
          <w:sz w:val="2"/>
          <w:szCs w:val="2"/>
          <w:rtl/>
        </w:rPr>
      </w:pPr>
    </w:p>
    <w:tbl>
      <w:tblPr>
        <w:bidiVisual/>
        <w:tblW w:w="9257" w:type="dxa"/>
        <w:tblLook w:val="04A0" w:firstRow="1" w:lastRow="0" w:firstColumn="1" w:lastColumn="0" w:noHBand="0" w:noVBand="1"/>
      </w:tblPr>
      <w:tblGrid>
        <w:gridCol w:w="2158"/>
        <w:gridCol w:w="782"/>
        <w:gridCol w:w="1264"/>
        <w:gridCol w:w="1264"/>
        <w:gridCol w:w="1264"/>
        <w:gridCol w:w="1264"/>
        <w:gridCol w:w="1261"/>
      </w:tblGrid>
      <w:tr w:rsidR="00ED70E6" w:rsidRPr="00ED70E6" w14:paraId="04992C0D" w14:textId="77777777" w:rsidTr="00ED70E6">
        <w:trPr>
          <w:trHeight w:val="304"/>
        </w:trPr>
        <w:tc>
          <w:tcPr>
            <w:tcW w:w="240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75A9ECE" w14:textId="77777777" w:rsidR="00ED70E6" w:rsidRPr="00ED70E6" w:rsidRDefault="00ED70E6" w:rsidP="00ED70E6">
            <w:pPr>
              <w:spacing w:after="0" w:line="240" w:lineRule="auto"/>
              <w:jc w:val="center"/>
              <w:rPr>
                <w:rFonts w:ascii="Calibri" w:eastAsia="Times New Roman" w:hAnsi="Calibri" w:cs="B Nazanin"/>
                <w:b/>
                <w:bCs/>
                <w:color w:val="262626"/>
                <w:lang w:bidi="ar-SA"/>
              </w:rPr>
            </w:pPr>
            <w:r w:rsidRPr="00ED70E6">
              <w:rPr>
                <w:rFonts w:ascii="Calibri" w:eastAsia="Times New Roman" w:hAnsi="Calibri" w:cs="B Nazanin" w:hint="cs"/>
                <w:b/>
                <w:bCs/>
                <w:color w:val="262626"/>
                <w:rtl/>
                <w:lang w:bidi="ar-SA"/>
              </w:rPr>
              <w:t>شاخص</w:t>
            </w:r>
          </w:p>
        </w:tc>
        <w:tc>
          <w:tcPr>
            <w:tcW w:w="238"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2A8B09C6"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معیار سنجش</w:t>
            </w:r>
          </w:p>
        </w:tc>
        <w:tc>
          <w:tcPr>
            <w:tcW w:w="132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302A89A"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سال94</w:t>
            </w:r>
          </w:p>
        </w:tc>
        <w:tc>
          <w:tcPr>
            <w:tcW w:w="1320" w:type="dxa"/>
            <w:tcBorders>
              <w:top w:val="single" w:sz="4" w:space="0" w:color="auto"/>
              <w:left w:val="single" w:sz="4" w:space="0" w:color="auto"/>
              <w:bottom w:val="single" w:sz="4" w:space="0" w:color="auto"/>
              <w:right w:val="nil"/>
            </w:tcBorders>
            <w:shd w:val="clear" w:color="000000" w:fill="BDD7EE"/>
            <w:vAlign w:val="center"/>
            <w:hideMark/>
          </w:tcPr>
          <w:p w14:paraId="080AF437"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سال95</w:t>
            </w:r>
          </w:p>
        </w:tc>
        <w:tc>
          <w:tcPr>
            <w:tcW w:w="132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27479469"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سال96</w:t>
            </w:r>
          </w:p>
        </w:tc>
        <w:tc>
          <w:tcPr>
            <w:tcW w:w="132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0153CFE"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سال97</w:t>
            </w:r>
          </w:p>
        </w:tc>
        <w:tc>
          <w:tcPr>
            <w:tcW w:w="1337"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9D17C44"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سال98</w:t>
            </w:r>
          </w:p>
        </w:tc>
      </w:tr>
      <w:tr w:rsidR="00ED70E6" w:rsidRPr="00ED70E6" w14:paraId="522B3DF3" w14:textId="77777777" w:rsidTr="00ED70E6">
        <w:trPr>
          <w:trHeight w:val="835"/>
        </w:trPr>
        <w:tc>
          <w:tcPr>
            <w:tcW w:w="2402" w:type="dxa"/>
            <w:tcBorders>
              <w:top w:val="nil"/>
              <w:left w:val="single" w:sz="4" w:space="0" w:color="auto"/>
              <w:bottom w:val="single" w:sz="4" w:space="0" w:color="auto"/>
              <w:right w:val="single" w:sz="4" w:space="0" w:color="auto"/>
            </w:tcBorders>
            <w:shd w:val="clear" w:color="000000" w:fill="BDD7EE"/>
            <w:vAlign w:val="center"/>
            <w:hideMark/>
          </w:tcPr>
          <w:p w14:paraId="017615C4"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ارزش پرداختی های معادن در حال بهره برداری</w:t>
            </w:r>
          </w:p>
        </w:tc>
        <w:tc>
          <w:tcPr>
            <w:tcW w:w="238" w:type="dxa"/>
            <w:tcBorders>
              <w:top w:val="nil"/>
              <w:left w:val="single" w:sz="4" w:space="0" w:color="auto"/>
              <w:bottom w:val="single" w:sz="4" w:space="0" w:color="auto"/>
              <w:right w:val="single" w:sz="4" w:space="0" w:color="auto"/>
            </w:tcBorders>
            <w:shd w:val="clear" w:color="auto" w:fill="auto"/>
            <w:vAlign w:val="center"/>
            <w:hideMark/>
          </w:tcPr>
          <w:p w14:paraId="2A2DBACC" w14:textId="77777777" w:rsidR="00ED70E6" w:rsidRPr="00ED70E6" w:rsidRDefault="00ED70E6" w:rsidP="00ED70E6">
            <w:pPr>
              <w:spacing w:after="0" w:line="240" w:lineRule="auto"/>
              <w:jc w:val="center"/>
              <w:rPr>
                <w:rFonts w:ascii="Calibri" w:eastAsia="Times New Roman" w:hAnsi="Calibri" w:cs="B Nazanin"/>
                <w:color w:val="000000"/>
                <w:rtl/>
                <w:lang w:bidi="ar-SA"/>
              </w:rPr>
            </w:pPr>
            <w:r w:rsidRPr="00ED70E6">
              <w:rPr>
                <w:rFonts w:ascii="Calibri" w:eastAsia="Times New Roman" w:hAnsi="Calibri" w:cs="B Nazanin" w:hint="cs"/>
                <w:color w:val="000000"/>
                <w:rtl/>
                <w:lang w:bidi="ar-SA"/>
              </w:rPr>
              <w:t>میلیون ریال</w:t>
            </w:r>
          </w:p>
        </w:tc>
        <w:tc>
          <w:tcPr>
            <w:tcW w:w="1320" w:type="dxa"/>
            <w:tcBorders>
              <w:top w:val="nil"/>
              <w:left w:val="single" w:sz="4" w:space="0" w:color="auto"/>
              <w:bottom w:val="single" w:sz="4" w:space="0" w:color="auto"/>
              <w:right w:val="single" w:sz="4" w:space="0" w:color="auto"/>
            </w:tcBorders>
            <w:shd w:val="clear" w:color="000000" w:fill="FFFFFF"/>
            <w:vAlign w:val="center"/>
            <w:hideMark/>
          </w:tcPr>
          <w:p w14:paraId="3763FF99" w14:textId="77777777" w:rsidR="00ED70E6" w:rsidRPr="004F4DB8" w:rsidRDefault="00ED70E6" w:rsidP="00ED70E6">
            <w:pPr>
              <w:bidi w:val="0"/>
              <w:spacing w:after="0" w:line="240" w:lineRule="auto"/>
              <w:jc w:val="center"/>
              <w:rPr>
                <w:rFonts w:ascii="IPT Nazanin" w:eastAsia="Times New Roman" w:hAnsi="IPT Nazanin" w:cs="B Nazanin"/>
                <w:color w:val="000000"/>
                <w:rtl/>
                <w:lang w:bidi="ar-SA"/>
              </w:rPr>
            </w:pPr>
            <w:r w:rsidRPr="004F4DB8">
              <w:rPr>
                <w:rFonts w:ascii="IPT Nazanin" w:eastAsia="Times New Roman" w:hAnsi="IPT Nazanin" w:cs="B Nazanin"/>
                <w:color w:val="000000"/>
                <w:lang w:bidi="ar-SA"/>
              </w:rPr>
              <w:t>247,444</w:t>
            </w:r>
          </w:p>
        </w:tc>
        <w:tc>
          <w:tcPr>
            <w:tcW w:w="1320" w:type="dxa"/>
            <w:tcBorders>
              <w:top w:val="nil"/>
              <w:left w:val="single" w:sz="4" w:space="0" w:color="auto"/>
              <w:bottom w:val="single" w:sz="4" w:space="0" w:color="auto"/>
              <w:right w:val="single" w:sz="4" w:space="0" w:color="auto"/>
            </w:tcBorders>
            <w:shd w:val="clear" w:color="000000" w:fill="FFFFFF"/>
            <w:vAlign w:val="center"/>
            <w:hideMark/>
          </w:tcPr>
          <w:p w14:paraId="12516D9C"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192,917</w:t>
            </w:r>
          </w:p>
        </w:tc>
        <w:tc>
          <w:tcPr>
            <w:tcW w:w="1320" w:type="dxa"/>
            <w:tcBorders>
              <w:top w:val="nil"/>
              <w:left w:val="single" w:sz="4" w:space="0" w:color="auto"/>
              <w:bottom w:val="single" w:sz="4" w:space="0" w:color="auto"/>
              <w:right w:val="single" w:sz="4" w:space="0" w:color="auto"/>
            </w:tcBorders>
            <w:shd w:val="clear" w:color="000000" w:fill="FFFFFF"/>
            <w:vAlign w:val="center"/>
            <w:hideMark/>
          </w:tcPr>
          <w:p w14:paraId="58E6AD5F"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203,902</w:t>
            </w:r>
          </w:p>
        </w:tc>
        <w:tc>
          <w:tcPr>
            <w:tcW w:w="1320" w:type="dxa"/>
            <w:tcBorders>
              <w:top w:val="nil"/>
              <w:left w:val="single" w:sz="4" w:space="0" w:color="auto"/>
              <w:bottom w:val="single" w:sz="4" w:space="0" w:color="auto"/>
              <w:right w:val="single" w:sz="4" w:space="0" w:color="auto"/>
            </w:tcBorders>
            <w:shd w:val="clear" w:color="000000" w:fill="FFFFFF"/>
            <w:vAlign w:val="center"/>
            <w:hideMark/>
          </w:tcPr>
          <w:p w14:paraId="2495FC17"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238,299</w:t>
            </w:r>
          </w:p>
        </w:tc>
        <w:tc>
          <w:tcPr>
            <w:tcW w:w="1337" w:type="dxa"/>
            <w:tcBorders>
              <w:top w:val="nil"/>
              <w:left w:val="single" w:sz="4" w:space="0" w:color="auto"/>
              <w:bottom w:val="single" w:sz="4" w:space="0" w:color="auto"/>
              <w:right w:val="single" w:sz="4" w:space="0" w:color="auto"/>
            </w:tcBorders>
            <w:shd w:val="clear" w:color="000000" w:fill="FFFFFF"/>
            <w:vAlign w:val="center"/>
            <w:hideMark/>
          </w:tcPr>
          <w:p w14:paraId="28F4CB62" w14:textId="77777777" w:rsidR="00ED70E6" w:rsidRPr="00ED70E6" w:rsidRDefault="00ED70E6" w:rsidP="00ED70E6">
            <w:pPr>
              <w:spacing w:after="0" w:line="240" w:lineRule="auto"/>
              <w:jc w:val="center"/>
              <w:rPr>
                <w:rFonts w:ascii="Calibri" w:eastAsia="Times New Roman" w:hAnsi="Calibri" w:cs="B Nazanin"/>
                <w:color w:val="000000"/>
                <w:sz w:val="26"/>
                <w:szCs w:val="26"/>
                <w:lang w:bidi="ar-SA"/>
              </w:rPr>
            </w:pPr>
            <w:r w:rsidRPr="00ED70E6">
              <w:rPr>
                <w:rFonts w:ascii="Calibri" w:eastAsia="Times New Roman" w:hAnsi="Calibri" w:cs="B Nazanin" w:hint="cs"/>
                <w:color w:val="000000"/>
                <w:sz w:val="26"/>
                <w:szCs w:val="26"/>
                <w:rtl/>
                <w:lang w:bidi="ar-SA"/>
              </w:rPr>
              <w:t>عدم وجود اطلاعات</w:t>
            </w:r>
          </w:p>
        </w:tc>
      </w:tr>
      <w:tr w:rsidR="00ED70E6" w:rsidRPr="00ED70E6" w14:paraId="2F2A5000" w14:textId="77777777" w:rsidTr="00ED70E6">
        <w:trPr>
          <w:trHeight w:val="835"/>
        </w:trPr>
        <w:tc>
          <w:tcPr>
            <w:tcW w:w="2402" w:type="dxa"/>
            <w:tcBorders>
              <w:top w:val="nil"/>
              <w:left w:val="single" w:sz="4" w:space="0" w:color="auto"/>
              <w:bottom w:val="single" w:sz="4" w:space="0" w:color="auto"/>
              <w:right w:val="single" w:sz="4" w:space="0" w:color="auto"/>
            </w:tcBorders>
            <w:shd w:val="clear" w:color="000000" w:fill="BDD7EE"/>
            <w:vAlign w:val="center"/>
            <w:hideMark/>
          </w:tcPr>
          <w:p w14:paraId="5FF47AD4"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ارزش دریافتی های معادن در حال بهره برداری</w:t>
            </w:r>
          </w:p>
        </w:tc>
        <w:tc>
          <w:tcPr>
            <w:tcW w:w="238" w:type="dxa"/>
            <w:tcBorders>
              <w:top w:val="nil"/>
              <w:left w:val="single" w:sz="4" w:space="0" w:color="auto"/>
              <w:bottom w:val="single" w:sz="4" w:space="0" w:color="auto"/>
              <w:right w:val="single" w:sz="4" w:space="0" w:color="auto"/>
            </w:tcBorders>
            <w:shd w:val="clear" w:color="000000" w:fill="F3F7FB"/>
            <w:vAlign w:val="center"/>
            <w:hideMark/>
          </w:tcPr>
          <w:p w14:paraId="4118F1E7" w14:textId="77777777" w:rsidR="00ED70E6" w:rsidRPr="00ED70E6" w:rsidRDefault="00ED70E6" w:rsidP="00ED70E6">
            <w:pPr>
              <w:spacing w:after="0" w:line="240" w:lineRule="auto"/>
              <w:jc w:val="center"/>
              <w:rPr>
                <w:rFonts w:ascii="Calibri" w:eastAsia="Times New Roman" w:hAnsi="Calibri" w:cs="B Nazanin"/>
                <w:color w:val="000000"/>
                <w:rtl/>
                <w:lang w:bidi="ar-SA"/>
              </w:rPr>
            </w:pPr>
            <w:r w:rsidRPr="00ED70E6">
              <w:rPr>
                <w:rFonts w:ascii="Calibri" w:eastAsia="Times New Roman" w:hAnsi="Calibri" w:cs="B Nazanin" w:hint="cs"/>
                <w:color w:val="000000"/>
                <w:rtl/>
                <w:lang w:bidi="ar-SA"/>
              </w:rPr>
              <w:t>میلیون ریال</w:t>
            </w:r>
          </w:p>
        </w:tc>
        <w:tc>
          <w:tcPr>
            <w:tcW w:w="1320" w:type="dxa"/>
            <w:tcBorders>
              <w:top w:val="nil"/>
              <w:left w:val="single" w:sz="4" w:space="0" w:color="auto"/>
              <w:bottom w:val="single" w:sz="4" w:space="0" w:color="auto"/>
              <w:right w:val="single" w:sz="4" w:space="0" w:color="auto"/>
            </w:tcBorders>
            <w:shd w:val="clear" w:color="000000" w:fill="F3F7FB"/>
            <w:vAlign w:val="center"/>
            <w:hideMark/>
          </w:tcPr>
          <w:p w14:paraId="7505116B" w14:textId="77777777" w:rsidR="00ED70E6" w:rsidRPr="004F4DB8" w:rsidRDefault="00ED70E6" w:rsidP="00ED70E6">
            <w:pPr>
              <w:bidi w:val="0"/>
              <w:spacing w:after="0" w:line="240" w:lineRule="auto"/>
              <w:jc w:val="center"/>
              <w:rPr>
                <w:rFonts w:ascii="IPT Nazanin" w:eastAsia="Times New Roman" w:hAnsi="IPT Nazanin" w:cs="B Nazanin"/>
                <w:color w:val="000000"/>
                <w:rtl/>
                <w:lang w:bidi="ar-SA"/>
              </w:rPr>
            </w:pPr>
            <w:r w:rsidRPr="004F4DB8">
              <w:rPr>
                <w:rFonts w:ascii="IPT Nazanin" w:eastAsia="Times New Roman" w:hAnsi="IPT Nazanin" w:cs="B Nazanin"/>
                <w:color w:val="000000"/>
                <w:lang w:bidi="ar-SA"/>
              </w:rPr>
              <w:t>670,362</w:t>
            </w:r>
          </w:p>
        </w:tc>
        <w:tc>
          <w:tcPr>
            <w:tcW w:w="1320" w:type="dxa"/>
            <w:tcBorders>
              <w:top w:val="nil"/>
              <w:left w:val="single" w:sz="4" w:space="0" w:color="auto"/>
              <w:bottom w:val="single" w:sz="4" w:space="0" w:color="auto"/>
              <w:right w:val="single" w:sz="4" w:space="0" w:color="auto"/>
            </w:tcBorders>
            <w:shd w:val="clear" w:color="000000" w:fill="F3F7FB"/>
            <w:vAlign w:val="center"/>
            <w:hideMark/>
          </w:tcPr>
          <w:p w14:paraId="5E7A224A"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711,385</w:t>
            </w:r>
          </w:p>
        </w:tc>
        <w:tc>
          <w:tcPr>
            <w:tcW w:w="1320" w:type="dxa"/>
            <w:tcBorders>
              <w:top w:val="nil"/>
              <w:left w:val="single" w:sz="4" w:space="0" w:color="auto"/>
              <w:bottom w:val="single" w:sz="4" w:space="0" w:color="auto"/>
              <w:right w:val="single" w:sz="4" w:space="0" w:color="auto"/>
            </w:tcBorders>
            <w:shd w:val="clear" w:color="000000" w:fill="F3F7FB"/>
            <w:vAlign w:val="center"/>
            <w:hideMark/>
          </w:tcPr>
          <w:p w14:paraId="0E826ACB"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709,326</w:t>
            </w:r>
          </w:p>
        </w:tc>
        <w:tc>
          <w:tcPr>
            <w:tcW w:w="1320" w:type="dxa"/>
            <w:tcBorders>
              <w:top w:val="nil"/>
              <w:left w:val="single" w:sz="4" w:space="0" w:color="auto"/>
              <w:bottom w:val="single" w:sz="4" w:space="0" w:color="auto"/>
              <w:right w:val="single" w:sz="4" w:space="0" w:color="auto"/>
            </w:tcBorders>
            <w:shd w:val="clear" w:color="000000" w:fill="F3F7FB"/>
            <w:vAlign w:val="center"/>
            <w:hideMark/>
          </w:tcPr>
          <w:p w14:paraId="3C47B587"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840,389</w:t>
            </w:r>
          </w:p>
        </w:tc>
        <w:tc>
          <w:tcPr>
            <w:tcW w:w="1337" w:type="dxa"/>
            <w:tcBorders>
              <w:top w:val="nil"/>
              <w:left w:val="single" w:sz="4" w:space="0" w:color="auto"/>
              <w:bottom w:val="single" w:sz="4" w:space="0" w:color="auto"/>
              <w:right w:val="single" w:sz="4" w:space="0" w:color="auto"/>
            </w:tcBorders>
            <w:shd w:val="clear" w:color="000000" w:fill="F3F7FB"/>
            <w:vAlign w:val="center"/>
            <w:hideMark/>
          </w:tcPr>
          <w:p w14:paraId="260BD655" w14:textId="77777777" w:rsidR="00ED70E6" w:rsidRPr="00ED70E6" w:rsidRDefault="00ED70E6" w:rsidP="00ED70E6">
            <w:pPr>
              <w:spacing w:after="0" w:line="240" w:lineRule="auto"/>
              <w:jc w:val="center"/>
              <w:rPr>
                <w:rFonts w:ascii="Calibri" w:eastAsia="Times New Roman" w:hAnsi="Calibri" w:cs="B Nazanin"/>
                <w:color w:val="000000"/>
                <w:sz w:val="26"/>
                <w:szCs w:val="26"/>
                <w:lang w:bidi="ar-SA"/>
              </w:rPr>
            </w:pPr>
            <w:r w:rsidRPr="00ED70E6">
              <w:rPr>
                <w:rFonts w:ascii="Calibri" w:eastAsia="Times New Roman" w:hAnsi="Calibri" w:cs="B Nazanin" w:hint="cs"/>
                <w:color w:val="000000"/>
                <w:sz w:val="26"/>
                <w:szCs w:val="26"/>
                <w:rtl/>
                <w:lang w:bidi="ar-SA"/>
              </w:rPr>
              <w:t>عدم وجود اطلاعات</w:t>
            </w:r>
          </w:p>
        </w:tc>
      </w:tr>
      <w:tr w:rsidR="00ED70E6" w:rsidRPr="00ED70E6" w14:paraId="0C40BEE2" w14:textId="77777777" w:rsidTr="00ED70E6">
        <w:trPr>
          <w:trHeight w:val="835"/>
        </w:trPr>
        <w:tc>
          <w:tcPr>
            <w:tcW w:w="2402" w:type="dxa"/>
            <w:tcBorders>
              <w:top w:val="nil"/>
              <w:left w:val="single" w:sz="4" w:space="0" w:color="auto"/>
              <w:bottom w:val="single" w:sz="4" w:space="0" w:color="auto"/>
              <w:right w:val="single" w:sz="4" w:space="0" w:color="auto"/>
            </w:tcBorders>
            <w:shd w:val="clear" w:color="000000" w:fill="BDD7EE"/>
            <w:vAlign w:val="center"/>
            <w:hideMark/>
          </w:tcPr>
          <w:p w14:paraId="054BD0AB"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جبران خدمات مزد و حقوق بگیران معادن در حال بهره برداری</w:t>
            </w:r>
          </w:p>
        </w:tc>
        <w:tc>
          <w:tcPr>
            <w:tcW w:w="238" w:type="dxa"/>
            <w:tcBorders>
              <w:top w:val="nil"/>
              <w:left w:val="single" w:sz="4" w:space="0" w:color="auto"/>
              <w:bottom w:val="single" w:sz="4" w:space="0" w:color="auto"/>
              <w:right w:val="single" w:sz="4" w:space="0" w:color="auto"/>
            </w:tcBorders>
            <w:shd w:val="clear" w:color="auto" w:fill="auto"/>
            <w:vAlign w:val="center"/>
            <w:hideMark/>
          </w:tcPr>
          <w:p w14:paraId="4890DA3B" w14:textId="77777777" w:rsidR="00ED70E6" w:rsidRPr="00ED70E6" w:rsidRDefault="00ED70E6" w:rsidP="00ED70E6">
            <w:pPr>
              <w:spacing w:after="0" w:line="240" w:lineRule="auto"/>
              <w:jc w:val="center"/>
              <w:rPr>
                <w:rFonts w:ascii="Calibri" w:eastAsia="Times New Roman" w:hAnsi="Calibri" w:cs="B Nazanin"/>
                <w:color w:val="000000"/>
                <w:rtl/>
                <w:lang w:bidi="ar-SA"/>
              </w:rPr>
            </w:pPr>
            <w:r w:rsidRPr="00ED70E6">
              <w:rPr>
                <w:rFonts w:ascii="Calibri" w:eastAsia="Times New Roman" w:hAnsi="Calibri" w:cs="B Nazanin" w:hint="cs"/>
                <w:color w:val="000000"/>
                <w:rtl/>
                <w:lang w:bidi="ar-SA"/>
              </w:rPr>
              <w:t>میلیون ریال</w:t>
            </w:r>
          </w:p>
        </w:tc>
        <w:tc>
          <w:tcPr>
            <w:tcW w:w="1320" w:type="dxa"/>
            <w:tcBorders>
              <w:top w:val="nil"/>
              <w:left w:val="single" w:sz="4" w:space="0" w:color="auto"/>
              <w:bottom w:val="single" w:sz="4" w:space="0" w:color="auto"/>
              <w:right w:val="single" w:sz="4" w:space="0" w:color="auto"/>
            </w:tcBorders>
            <w:shd w:val="clear" w:color="000000" w:fill="FFFFFF"/>
            <w:vAlign w:val="center"/>
            <w:hideMark/>
          </w:tcPr>
          <w:p w14:paraId="7810E66B" w14:textId="77777777" w:rsidR="00ED70E6" w:rsidRPr="004F4DB8" w:rsidRDefault="00ED70E6" w:rsidP="00ED70E6">
            <w:pPr>
              <w:bidi w:val="0"/>
              <w:spacing w:after="0" w:line="240" w:lineRule="auto"/>
              <w:jc w:val="center"/>
              <w:rPr>
                <w:rFonts w:ascii="IPT Nazanin" w:eastAsia="Times New Roman" w:hAnsi="IPT Nazanin" w:cs="B Nazanin"/>
                <w:color w:val="000000"/>
                <w:rtl/>
                <w:lang w:bidi="ar-SA"/>
              </w:rPr>
            </w:pPr>
            <w:r w:rsidRPr="004F4DB8">
              <w:rPr>
                <w:rFonts w:ascii="IPT Nazanin" w:eastAsia="Times New Roman" w:hAnsi="IPT Nazanin" w:cs="B Nazanin"/>
                <w:color w:val="000000"/>
                <w:lang w:bidi="ar-SA"/>
              </w:rPr>
              <w:t>174,098</w:t>
            </w:r>
          </w:p>
        </w:tc>
        <w:tc>
          <w:tcPr>
            <w:tcW w:w="1320" w:type="dxa"/>
            <w:tcBorders>
              <w:top w:val="nil"/>
              <w:left w:val="single" w:sz="4" w:space="0" w:color="auto"/>
              <w:bottom w:val="single" w:sz="4" w:space="0" w:color="auto"/>
              <w:right w:val="single" w:sz="4" w:space="0" w:color="auto"/>
            </w:tcBorders>
            <w:shd w:val="clear" w:color="000000" w:fill="FFFFFF"/>
            <w:vAlign w:val="center"/>
            <w:hideMark/>
          </w:tcPr>
          <w:p w14:paraId="3B6480AC"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169,632</w:t>
            </w:r>
          </w:p>
        </w:tc>
        <w:tc>
          <w:tcPr>
            <w:tcW w:w="1320" w:type="dxa"/>
            <w:tcBorders>
              <w:top w:val="nil"/>
              <w:left w:val="single" w:sz="4" w:space="0" w:color="auto"/>
              <w:bottom w:val="single" w:sz="4" w:space="0" w:color="auto"/>
              <w:right w:val="single" w:sz="4" w:space="0" w:color="auto"/>
            </w:tcBorders>
            <w:shd w:val="clear" w:color="000000" w:fill="FFFFFF"/>
            <w:vAlign w:val="center"/>
            <w:hideMark/>
          </w:tcPr>
          <w:p w14:paraId="19A90C3F"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155,822</w:t>
            </w:r>
          </w:p>
        </w:tc>
        <w:tc>
          <w:tcPr>
            <w:tcW w:w="1320" w:type="dxa"/>
            <w:tcBorders>
              <w:top w:val="nil"/>
              <w:left w:val="single" w:sz="4" w:space="0" w:color="auto"/>
              <w:bottom w:val="single" w:sz="4" w:space="0" w:color="auto"/>
              <w:right w:val="single" w:sz="4" w:space="0" w:color="auto"/>
            </w:tcBorders>
            <w:shd w:val="clear" w:color="000000" w:fill="FFFFFF"/>
            <w:vAlign w:val="center"/>
            <w:hideMark/>
          </w:tcPr>
          <w:p w14:paraId="0547847D"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206,860</w:t>
            </w:r>
          </w:p>
        </w:tc>
        <w:tc>
          <w:tcPr>
            <w:tcW w:w="1337" w:type="dxa"/>
            <w:tcBorders>
              <w:top w:val="nil"/>
              <w:left w:val="single" w:sz="4" w:space="0" w:color="auto"/>
              <w:bottom w:val="single" w:sz="4" w:space="0" w:color="auto"/>
              <w:right w:val="single" w:sz="4" w:space="0" w:color="auto"/>
            </w:tcBorders>
            <w:shd w:val="clear" w:color="000000" w:fill="FFFFFF"/>
            <w:vAlign w:val="center"/>
            <w:hideMark/>
          </w:tcPr>
          <w:p w14:paraId="23B25A59" w14:textId="77777777" w:rsidR="00ED70E6" w:rsidRPr="00ED70E6" w:rsidRDefault="00ED70E6" w:rsidP="00ED70E6">
            <w:pPr>
              <w:spacing w:after="0" w:line="240" w:lineRule="auto"/>
              <w:jc w:val="center"/>
              <w:rPr>
                <w:rFonts w:ascii="Calibri" w:eastAsia="Times New Roman" w:hAnsi="Calibri" w:cs="B Nazanin"/>
                <w:color w:val="000000"/>
                <w:sz w:val="26"/>
                <w:szCs w:val="26"/>
                <w:lang w:bidi="ar-SA"/>
              </w:rPr>
            </w:pPr>
            <w:r w:rsidRPr="00ED70E6">
              <w:rPr>
                <w:rFonts w:ascii="Calibri" w:eastAsia="Times New Roman" w:hAnsi="Calibri" w:cs="B Nazanin" w:hint="cs"/>
                <w:color w:val="000000"/>
                <w:sz w:val="26"/>
                <w:szCs w:val="26"/>
                <w:rtl/>
                <w:lang w:bidi="ar-SA"/>
              </w:rPr>
              <w:t>عدم وجود اطلاعات</w:t>
            </w:r>
          </w:p>
        </w:tc>
      </w:tr>
      <w:tr w:rsidR="00ED70E6" w:rsidRPr="00ED70E6" w14:paraId="040F5753" w14:textId="77777777" w:rsidTr="00ED70E6">
        <w:trPr>
          <w:trHeight w:val="835"/>
        </w:trPr>
        <w:tc>
          <w:tcPr>
            <w:tcW w:w="2402" w:type="dxa"/>
            <w:tcBorders>
              <w:top w:val="nil"/>
              <w:left w:val="single" w:sz="4" w:space="0" w:color="auto"/>
              <w:bottom w:val="single" w:sz="4" w:space="0" w:color="auto"/>
              <w:right w:val="single" w:sz="4" w:space="0" w:color="auto"/>
            </w:tcBorders>
            <w:shd w:val="clear" w:color="000000" w:fill="BDD7EE"/>
            <w:vAlign w:val="center"/>
            <w:hideMark/>
          </w:tcPr>
          <w:p w14:paraId="2AE7A092"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تعداد شاغلین معادن در حال بهره برداری</w:t>
            </w:r>
          </w:p>
        </w:tc>
        <w:tc>
          <w:tcPr>
            <w:tcW w:w="238" w:type="dxa"/>
            <w:tcBorders>
              <w:top w:val="nil"/>
              <w:left w:val="single" w:sz="4" w:space="0" w:color="auto"/>
              <w:bottom w:val="single" w:sz="4" w:space="0" w:color="auto"/>
              <w:right w:val="single" w:sz="4" w:space="0" w:color="auto"/>
            </w:tcBorders>
            <w:shd w:val="clear" w:color="000000" w:fill="F3F7FB"/>
            <w:vAlign w:val="center"/>
            <w:hideMark/>
          </w:tcPr>
          <w:p w14:paraId="1307CAEC" w14:textId="77777777" w:rsidR="00ED70E6" w:rsidRPr="00ED70E6" w:rsidRDefault="00ED70E6" w:rsidP="00ED70E6">
            <w:pPr>
              <w:spacing w:after="0" w:line="240" w:lineRule="auto"/>
              <w:jc w:val="center"/>
              <w:rPr>
                <w:rFonts w:ascii="Calibri" w:eastAsia="Times New Roman" w:hAnsi="Calibri" w:cs="B Nazanin"/>
                <w:color w:val="000000"/>
                <w:rtl/>
                <w:lang w:bidi="ar-SA"/>
              </w:rPr>
            </w:pPr>
            <w:r w:rsidRPr="00ED70E6">
              <w:rPr>
                <w:rFonts w:ascii="Calibri" w:eastAsia="Times New Roman" w:hAnsi="Calibri" w:cs="B Nazanin" w:hint="cs"/>
                <w:color w:val="000000"/>
                <w:rtl/>
                <w:lang w:bidi="ar-SA"/>
              </w:rPr>
              <w:t>نفر</w:t>
            </w:r>
          </w:p>
        </w:tc>
        <w:tc>
          <w:tcPr>
            <w:tcW w:w="1320" w:type="dxa"/>
            <w:tcBorders>
              <w:top w:val="nil"/>
              <w:left w:val="single" w:sz="4" w:space="0" w:color="auto"/>
              <w:bottom w:val="single" w:sz="4" w:space="0" w:color="auto"/>
              <w:right w:val="single" w:sz="4" w:space="0" w:color="auto"/>
            </w:tcBorders>
            <w:shd w:val="clear" w:color="000000" w:fill="F3F7FB"/>
            <w:vAlign w:val="center"/>
            <w:hideMark/>
          </w:tcPr>
          <w:p w14:paraId="2D0076F5" w14:textId="77777777" w:rsidR="00ED70E6" w:rsidRPr="004F4DB8" w:rsidRDefault="00ED70E6" w:rsidP="00ED70E6">
            <w:pPr>
              <w:bidi w:val="0"/>
              <w:spacing w:after="0" w:line="240" w:lineRule="auto"/>
              <w:jc w:val="center"/>
              <w:rPr>
                <w:rFonts w:ascii="IPT Nazanin" w:eastAsia="Times New Roman" w:hAnsi="IPT Nazanin" w:cs="B Nazanin"/>
                <w:color w:val="000000"/>
                <w:rtl/>
                <w:lang w:bidi="ar-SA"/>
              </w:rPr>
            </w:pPr>
            <w:r w:rsidRPr="004F4DB8">
              <w:rPr>
                <w:rFonts w:ascii="IPT Nazanin" w:eastAsia="Times New Roman" w:hAnsi="IPT Nazanin" w:cs="B Nazanin"/>
                <w:color w:val="000000"/>
                <w:lang w:bidi="ar-SA"/>
              </w:rPr>
              <w:t>830</w:t>
            </w:r>
          </w:p>
        </w:tc>
        <w:tc>
          <w:tcPr>
            <w:tcW w:w="1320" w:type="dxa"/>
            <w:tcBorders>
              <w:top w:val="nil"/>
              <w:left w:val="single" w:sz="4" w:space="0" w:color="auto"/>
              <w:bottom w:val="single" w:sz="4" w:space="0" w:color="auto"/>
              <w:right w:val="single" w:sz="4" w:space="0" w:color="auto"/>
            </w:tcBorders>
            <w:shd w:val="clear" w:color="000000" w:fill="F3F7FB"/>
            <w:vAlign w:val="center"/>
            <w:hideMark/>
          </w:tcPr>
          <w:p w14:paraId="05E069D4"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723</w:t>
            </w:r>
          </w:p>
        </w:tc>
        <w:tc>
          <w:tcPr>
            <w:tcW w:w="1320" w:type="dxa"/>
            <w:tcBorders>
              <w:top w:val="nil"/>
              <w:left w:val="single" w:sz="4" w:space="0" w:color="auto"/>
              <w:bottom w:val="single" w:sz="4" w:space="0" w:color="auto"/>
              <w:right w:val="single" w:sz="4" w:space="0" w:color="auto"/>
            </w:tcBorders>
            <w:shd w:val="clear" w:color="000000" w:fill="F3F7FB"/>
            <w:vAlign w:val="center"/>
            <w:hideMark/>
          </w:tcPr>
          <w:p w14:paraId="0D488ECF"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635</w:t>
            </w:r>
          </w:p>
        </w:tc>
        <w:tc>
          <w:tcPr>
            <w:tcW w:w="1320" w:type="dxa"/>
            <w:tcBorders>
              <w:top w:val="nil"/>
              <w:left w:val="single" w:sz="4" w:space="0" w:color="auto"/>
              <w:bottom w:val="single" w:sz="4" w:space="0" w:color="auto"/>
              <w:right w:val="single" w:sz="4" w:space="0" w:color="auto"/>
            </w:tcBorders>
            <w:shd w:val="clear" w:color="000000" w:fill="F3F7FB"/>
            <w:vAlign w:val="center"/>
            <w:hideMark/>
          </w:tcPr>
          <w:p w14:paraId="339B55CB" w14:textId="77777777" w:rsidR="00ED70E6" w:rsidRPr="004F4DB8" w:rsidRDefault="00ED70E6" w:rsidP="00ED70E6">
            <w:pPr>
              <w:bidi w:val="0"/>
              <w:spacing w:after="0" w:line="240" w:lineRule="auto"/>
              <w:jc w:val="center"/>
              <w:rPr>
                <w:rFonts w:ascii="IPT Nazanin" w:eastAsia="Times New Roman" w:hAnsi="IPT Nazanin" w:cs="B Nazanin"/>
                <w:color w:val="000000"/>
                <w:lang w:bidi="ar-SA"/>
              </w:rPr>
            </w:pPr>
            <w:r w:rsidRPr="004F4DB8">
              <w:rPr>
                <w:rFonts w:ascii="IPT Nazanin" w:eastAsia="Times New Roman" w:hAnsi="IPT Nazanin" w:cs="B Nazanin"/>
                <w:color w:val="000000"/>
                <w:lang w:bidi="ar-SA"/>
              </w:rPr>
              <w:t>633</w:t>
            </w:r>
          </w:p>
        </w:tc>
        <w:tc>
          <w:tcPr>
            <w:tcW w:w="1337" w:type="dxa"/>
            <w:tcBorders>
              <w:top w:val="nil"/>
              <w:left w:val="single" w:sz="4" w:space="0" w:color="auto"/>
              <w:bottom w:val="single" w:sz="4" w:space="0" w:color="auto"/>
              <w:right w:val="single" w:sz="4" w:space="0" w:color="auto"/>
            </w:tcBorders>
            <w:shd w:val="clear" w:color="000000" w:fill="F3F7FB"/>
            <w:vAlign w:val="center"/>
            <w:hideMark/>
          </w:tcPr>
          <w:p w14:paraId="6937283B" w14:textId="77777777" w:rsidR="00ED70E6" w:rsidRPr="00ED70E6" w:rsidRDefault="00ED70E6" w:rsidP="00ED70E6">
            <w:pPr>
              <w:spacing w:after="0" w:line="240" w:lineRule="auto"/>
              <w:jc w:val="center"/>
              <w:rPr>
                <w:rFonts w:ascii="Calibri" w:eastAsia="Times New Roman" w:hAnsi="Calibri" w:cs="B Nazanin"/>
                <w:color w:val="000000"/>
                <w:sz w:val="26"/>
                <w:szCs w:val="26"/>
                <w:lang w:bidi="ar-SA"/>
              </w:rPr>
            </w:pPr>
            <w:r w:rsidRPr="00ED70E6">
              <w:rPr>
                <w:rFonts w:ascii="Calibri" w:eastAsia="Times New Roman" w:hAnsi="Calibri" w:cs="B Nazanin" w:hint="cs"/>
                <w:color w:val="000000"/>
                <w:sz w:val="26"/>
                <w:szCs w:val="26"/>
                <w:rtl/>
                <w:lang w:bidi="ar-SA"/>
              </w:rPr>
              <w:t>عدم وجود اطلاعات</w:t>
            </w:r>
          </w:p>
        </w:tc>
      </w:tr>
    </w:tbl>
    <w:p w14:paraId="64DF997E" w14:textId="77777777" w:rsidR="00187114" w:rsidRDefault="00187114" w:rsidP="006A3021">
      <w:pPr>
        <w:rPr>
          <w:rFonts w:ascii="IPT Nazanin" w:hAnsi="IPT Nazanin" w:cs="B Nazanin"/>
          <w:sz w:val="24"/>
          <w:szCs w:val="24"/>
        </w:rPr>
      </w:pPr>
    </w:p>
    <w:p w14:paraId="71106AD6" w14:textId="77777777" w:rsidR="006A3021" w:rsidRPr="00A92BDC" w:rsidRDefault="006A3021" w:rsidP="006A3021">
      <w:pPr>
        <w:rPr>
          <w:rFonts w:ascii="IPT Nazanin" w:hAnsi="IPT Nazanin" w:cs="B Nazanin"/>
          <w:sz w:val="24"/>
          <w:szCs w:val="24"/>
          <w:rtl/>
        </w:rPr>
      </w:pPr>
    </w:p>
    <w:p w14:paraId="1DDF7B72"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t>نمودار(3-1): ارزش دریافتی‌ها و پرداختی‌های معادن درحال بهره برداری</w:t>
      </w:r>
    </w:p>
    <w:p w14:paraId="218F86E1" w14:textId="168C9E15" w:rsidR="00D6621B" w:rsidRDefault="00ED70E6" w:rsidP="00D6621B">
      <w:pPr>
        <w:jc w:val="center"/>
        <w:rPr>
          <w:rFonts w:ascii="IPT Nazanin" w:hAnsi="IPT Nazanin" w:cs="B Nazanin"/>
          <w:rtl/>
        </w:rPr>
      </w:pPr>
      <w:r>
        <w:rPr>
          <w:noProof/>
          <w:lang w:bidi="ar-SA"/>
        </w:rPr>
        <w:drawing>
          <wp:inline distT="0" distB="0" distL="0" distR="0" wp14:anchorId="2B994626" wp14:editId="2A0F47E6">
            <wp:extent cx="5878195" cy="2720148"/>
            <wp:effectExtent l="0" t="0" r="8255" b="4445"/>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91BBD06" w14:textId="033A53F6" w:rsidR="00187114" w:rsidRPr="00B24351" w:rsidRDefault="00187114" w:rsidP="00ED70E6">
      <w:pPr>
        <w:spacing w:line="240" w:lineRule="auto"/>
        <w:ind w:right="340"/>
        <w:jc w:val="both"/>
        <w:rPr>
          <w:rFonts w:ascii="IPT Nazanin" w:hAnsi="IPT Nazanin" w:cs="B Nazanin"/>
          <w:sz w:val="24"/>
          <w:szCs w:val="24"/>
          <w:rtl/>
        </w:rPr>
      </w:pPr>
      <w:r w:rsidRPr="00A92BDC">
        <w:rPr>
          <w:rFonts w:ascii="IPT Nazanin" w:hAnsi="IPT Nazanin" w:cs="B Nazanin"/>
          <w:sz w:val="24"/>
          <w:szCs w:val="24"/>
          <w:rtl/>
        </w:rPr>
        <w:t>ارزش دریافتی‌ها</w:t>
      </w:r>
      <w:r w:rsidR="004F4DB8">
        <w:rPr>
          <w:rFonts w:ascii="IPT Nazanin" w:hAnsi="IPT Nazanin" w:cs="B Nazanin" w:hint="cs"/>
          <w:sz w:val="24"/>
          <w:szCs w:val="24"/>
          <w:rtl/>
        </w:rPr>
        <w:t>ی معادن در حال بهره برداری در سال 97 نسبت به سال 94 رشد داشته است. همچنین ارزش پرداختی های معادن در حال بهره برداری در سال 97 کاهش محسوسی نسبت به سال 94 داشته است.</w:t>
      </w:r>
    </w:p>
    <w:p w14:paraId="282F5B9C"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lastRenderedPageBreak/>
        <w:t xml:space="preserve">نمودار(3-2): جبران خدمات مزد و حقوق بگیران معادن در حال بهره برداری </w:t>
      </w:r>
    </w:p>
    <w:p w14:paraId="3BDA2DA3" w14:textId="37021B8B" w:rsidR="00187114" w:rsidRPr="00A92BDC" w:rsidRDefault="00ED70E6" w:rsidP="00187114">
      <w:pPr>
        <w:jc w:val="center"/>
        <w:rPr>
          <w:rFonts w:ascii="IPT Nazanin" w:hAnsi="IPT Nazanin" w:cs="B Nazanin"/>
          <w:rtl/>
        </w:rPr>
      </w:pPr>
      <w:r>
        <w:rPr>
          <w:noProof/>
          <w:lang w:bidi="ar-SA"/>
        </w:rPr>
        <w:drawing>
          <wp:inline distT="0" distB="0" distL="0" distR="0" wp14:anchorId="66E76C06" wp14:editId="249057CA">
            <wp:extent cx="5713079" cy="2727325"/>
            <wp:effectExtent l="76200" t="76200" r="78740" b="7302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C15A85F" w14:textId="31DEEA01" w:rsidR="00187114" w:rsidRPr="00A92BDC" w:rsidRDefault="00187114" w:rsidP="00D6621B">
      <w:pPr>
        <w:spacing w:line="240" w:lineRule="auto"/>
        <w:ind w:left="227" w:right="227"/>
        <w:jc w:val="both"/>
        <w:rPr>
          <w:rFonts w:ascii="IPT Nazanin" w:hAnsi="IPT Nazanin" w:cs="B Nazanin"/>
          <w:sz w:val="24"/>
          <w:szCs w:val="24"/>
          <w:rtl/>
        </w:rPr>
      </w:pPr>
      <w:r w:rsidRPr="00A92BDC">
        <w:rPr>
          <w:rFonts w:ascii="IPT Nazanin" w:hAnsi="IPT Nazanin" w:cs="B Nazanin"/>
          <w:sz w:val="24"/>
          <w:szCs w:val="24"/>
          <w:rtl/>
        </w:rPr>
        <w:t>روند</w:t>
      </w:r>
      <w:r w:rsidRPr="00A92BDC">
        <w:rPr>
          <w:rFonts w:ascii="IPT Nazanin" w:hAnsi="IPT Nazanin" w:cs="B Nazanin"/>
          <w:sz w:val="24"/>
          <w:szCs w:val="24"/>
        </w:rPr>
        <w:t></w:t>
      </w:r>
      <w:r w:rsidRPr="00A92BDC">
        <w:rPr>
          <w:rFonts w:ascii="IPT Nazanin" w:hAnsi="IPT Nazanin" w:cs="B Nazanin"/>
          <w:sz w:val="24"/>
          <w:szCs w:val="24"/>
          <w:rtl/>
        </w:rPr>
        <w:t xml:space="preserve">جبران خدمات مزد و حقوق در بخش معدن شهرستان نطنز در بین سال‌های </w:t>
      </w:r>
      <w:r w:rsidR="004F4DB8">
        <w:rPr>
          <w:rFonts w:ascii="IPT Nazanin" w:hAnsi="IPT Nazanin" w:cs="B Nazanin" w:hint="cs"/>
          <w:sz w:val="24"/>
          <w:szCs w:val="24"/>
          <w:rtl/>
        </w:rPr>
        <w:t>96</w:t>
      </w:r>
      <w:r w:rsidRPr="00A92BDC">
        <w:rPr>
          <w:rFonts w:ascii="IPT Nazanin" w:hAnsi="IPT Nazanin" w:cs="B Nazanin"/>
          <w:sz w:val="24"/>
          <w:szCs w:val="24"/>
          <w:rtl/>
        </w:rPr>
        <w:t>-</w:t>
      </w:r>
      <w:r w:rsidR="004F4DB8">
        <w:rPr>
          <w:rFonts w:ascii="IPT Nazanin" w:hAnsi="IPT Nazanin" w:cs="B Nazanin" w:hint="cs"/>
          <w:sz w:val="24"/>
          <w:szCs w:val="24"/>
          <w:rtl/>
        </w:rPr>
        <w:t>94</w:t>
      </w:r>
      <w:r w:rsidRPr="00A92BDC">
        <w:rPr>
          <w:rFonts w:ascii="IPT Nazanin" w:hAnsi="IPT Nazanin" w:cs="B Nazanin"/>
          <w:sz w:val="24"/>
          <w:szCs w:val="24"/>
          <w:rtl/>
        </w:rPr>
        <w:t xml:space="preserve"> روند </w:t>
      </w:r>
      <w:r w:rsidR="004F4DB8">
        <w:rPr>
          <w:rFonts w:ascii="IPT Nazanin" w:hAnsi="IPT Nazanin" w:cs="B Nazanin" w:hint="cs"/>
          <w:sz w:val="24"/>
          <w:szCs w:val="24"/>
          <w:rtl/>
        </w:rPr>
        <w:t>کاهشی</w:t>
      </w:r>
      <w:r w:rsidRPr="00A92BDC">
        <w:rPr>
          <w:rFonts w:ascii="IPT Nazanin" w:hAnsi="IPT Nazanin" w:cs="B Nazanin"/>
          <w:sz w:val="24"/>
          <w:szCs w:val="24"/>
          <w:rtl/>
        </w:rPr>
        <w:t xml:space="preserve"> داشته است که بیانگر </w:t>
      </w:r>
      <w:r w:rsidR="00E932A9">
        <w:rPr>
          <w:rFonts w:ascii="IPT Nazanin" w:hAnsi="IPT Nazanin" w:cs="B Nazanin" w:hint="cs"/>
          <w:sz w:val="24"/>
          <w:szCs w:val="24"/>
          <w:rtl/>
        </w:rPr>
        <w:t>عدم جذابیت</w:t>
      </w:r>
      <w:r w:rsidRPr="00A92BDC">
        <w:rPr>
          <w:rFonts w:ascii="IPT Nazanin" w:hAnsi="IPT Nazanin" w:cs="B Nazanin"/>
          <w:sz w:val="24"/>
          <w:szCs w:val="24"/>
          <w:rtl/>
        </w:rPr>
        <w:t xml:space="preserve"> بخش معدن برای نیروی انسانی فعال در این بخش است.</w:t>
      </w:r>
      <w:r w:rsidR="00D6621B">
        <w:rPr>
          <w:rFonts w:ascii="IPT Nazanin" w:hAnsi="IPT Nazanin" w:cs="B Nazanin" w:hint="cs"/>
          <w:sz w:val="24"/>
          <w:szCs w:val="24"/>
          <w:rtl/>
        </w:rPr>
        <w:t xml:space="preserve"> اما این روند در سال </w:t>
      </w:r>
      <w:r w:rsidR="00E932A9">
        <w:rPr>
          <w:rFonts w:ascii="IPT Nazanin" w:hAnsi="IPT Nazanin" w:cs="B Nazanin" w:hint="cs"/>
          <w:sz w:val="24"/>
          <w:szCs w:val="24"/>
          <w:rtl/>
        </w:rPr>
        <w:t>97 نسبت به سال های قبل افزایش یافته است.</w:t>
      </w:r>
      <w:r w:rsidR="00D6621B">
        <w:rPr>
          <w:rFonts w:ascii="IPT Nazanin" w:hAnsi="IPT Nazanin" w:cs="B Nazanin" w:hint="cs"/>
          <w:sz w:val="24"/>
          <w:szCs w:val="24"/>
          <w:rtl/>
        </w:rPr>
        <w:t xml:space="preserve"> </w:t>
      </w:r>
    </w:p>
    <w:p w14:paraId="25E91C68" w14:textId="77777777" w:rsidR="00187114" w:rsidRPr="00A92BDC" w:rsidRDefault="00187114" w:rsidP="00187114">
      <w:pPr>
        <w:spacing w:line="240" w:lineRule="auto"/>
        <w:ind w:left="227" w:right="227"/>
        <w:jc w:val="both"/>
        <w:rPr>
          <w:rFonts w:ascii="IPT Nazanin" w:hAnsi="IPT Nazanin" w:cs="B Nazanin"/>
          <w:sz w:val="24"/>
          <w:szCs w:val="24"/>
          <w:rtl/>
        </w:rPr>
      </w:pPr>
    </w:p>
    <w:p w14:paraId="7AF377BA" w14:textId="77777777" w:rsidR="00187114" w:rsidRPr="00A92BDC" w:rsidRDefault="00187114" w:rsidP="00187114">
      <w:pPr>
        <w:rPr>
          <w:rFonts w:ascii="IPT Nazanin" w:hAnsi="IPT Nazanin" w:cs="B Nazanin"/>
          <w:b/>
          <w:bCs/>
          <w:sz w:val="28"/>
          <w:szCs w:val="28"/>
          <w:rtl/>
        </w:rPr>
      </w:pPr>
      <w:r w:rsidRPr="00A92BDC">
        <w:rPr>
          <w:rFonts w:ascii="IPT Nazanin" w:hAnsi="IPT Nazanin" w:cs="B Nazanin"/>
          <w:b/>
          <w:bCs/>
          <w:sz w:val="28"/>
          <w:szCs w:val="28"/>
          <w:rtl/>
        </w:rPr>
        <w:t>1-4- بخش جمعیت شناسی</w:t>
      </w:r>
    </w:p>
    <w:p w14:paraId="69451261"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t>جدول (4-1): اطلاعات مربوط به شاخص</w:t>
      </w:r>
      <w:r w:rsidRPr="00A92BDC">
        <w:rPr>
          <w:rFonts w:ascii="IPT Nazanin" w:hAnsi="IPT Nazanin" w:cs="B Nazanin"/>
          <w:sz w:val="24"/>
          <w:szCs w:val="24"/>
          <w:rtl/>
        </w:rPr>
        <w:softHyphen/>
        <w:t>‌های بخش جمعیت شناسی</w:t>
      </w:r>
    </w:p>
    <w:tbl>
      <w:tblPr>
        <w:bidiVisual/>
        <w:tblW w:w="9257" w:type="dxa"/>
        <w:tblLook w:val="04A0" w:firstRow="1" w:lastRow="0" w:firstColumn="1" w:lastColumn="0" w:noHBand="0" w:noVBand="1"/>
      </w:tblPr>
      <w:tblGrid>
        <w:gridCol w:w="2149"/>
        <w:gridCol w:w="782"/>
        <w:gridCol w:w="1267"/>
        <w:gridCol w:w="1267"/>
        <w:gridCol w:w="1267"/>
        <w:gridCol w:w="1267"/>
        <w:gridCol w:w="1258"/>
      </w:tblGrid>
      <w:tr w:rsidR="00ED70E6" w:rsidRPr="00ED70E6" w14:paraId="688801C7" w14:textId="77777777" w:rsidTr="00ED70E6">
        <w:trPr>
          <w:trHeight w:val="304"/>
        </w:trPr>
        <w:tc>
          <w:tcPr>
            <w:tcW w:w="2149"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66ECF3E" w14:textId="77777777" w:rsidR="00ED70E6" w:rsidRPr="00ED70E6" w:rsidRDefault="00ED70E6" w:rsidP="00BD4F20">
            <w:pPr>
              <w:spacing w:after="0" w:line="240" w:lineRule="auto"/>
              <w:jc w:val="center"/>
              <w:rPr>
                <w:rFonts w:ascii="Calibri" w:eastAsia="Times New Roman" w:hAnsi="Calibri" w:cs="B Nazanin"/>
                <w:b/>
                <w:bCs/>
                <w:color w:val="262626"/>
                <w:lang w:bidi="ar-SA"/>
              </w:rPr>
            </w:pPr>
            <w:r w:rsidRPr="00ED70E6">
              <w:rPr>
                <w:rFonts w:ascii="Calibri" w:eastAsia="Times New Roman" w:hAnsi="Calibri" w:cs="B Nazanin" w:hint="cs"/>
                <w:b/>
                <w:bCs/>
                <w:color w:val="262626"/>
                <w:rtl/>
                <w:lang w:bidi="ar-SA"/>
              </w:rPr>
              <w:t>شاخص</w:t>
            </w:r>
          </w:p>
        </w:tc>
        <w:tc>
          <w:tcPr>
            <w:tcW w:w="78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24114A7B" w14:textId="77777777" w:rsidR="00ED70E6" w:rsidRPr="00ED70E6" w:rsidRDefault="00ED70E6" w:rsidP="00BD4F20">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معیار سنجش</w:t>
            </w:r>
          </w:p>
        </w:tc>
        <w:tc>
          <w:tcPr>
            <w:tcW w:w="1267"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66309B4" w14:textId="77777777" w:rsidR="00ED70E6" w:rsidRPr="00ED70E6" w:rsidRDefault="00ED70E6" w:rsidP="00BD4F20">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سال94</w:t>
            </w:r>
          </w:p>
        </w:tc>
        <w:tc>
          <w:tcPr>
            <w:tcW w:w="1267" w:type="dxa"/>
            <w:tcBorders>
              <w:top w:val="single" w:sz="4" w:space="0" w:color="auto"/>
              <w:left w:val="single" w:sz="4" w:space="0" w:color="auto"/>
              <w:bottom w:val="single" w:sz="4" w:space="0" w:color="auto"/>
              <w:right w:val="nil"/>
            </w:tcBorders>
            <w:shd w:val="clear" w:color="000000" w:fill="BDD7EE"/>
            <w:vAlign w:val="center"/>
            <w:hideMark/>
          </w:tcPr>
          <w:p w14:paraId="607820FF" w14:textId="77777777" w:rsidR="00ED70E6" w:rsidRPr="00ED70E6" w:rsidRDefault="00ED70E6" w:rsidP="00BD4F20">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سال95</w:t>
            </w:r>
          </w:p>
        </w:tc>
        <w:tc>
          <w:tcPr>
            <w:tcW w:w="1267"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7B96B1F9" w14:textId="77777777" w:rsidR="00ED70E6" w:rsidRPr="00ED70E6" w:rsidRDefault="00ED70E6" w:rsidP="00BD4F20">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سال96</w:t>
            </w:r>
          </w:p>
        </w:tc>
        <w:tc>
          <w:tcPr>
            <w:tcW w:w="1267"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F368767" w14:textId="77777777" w:rsidR="00ED70E6" w:rsidRPr="00ED70E6" w:rsidRDefault="00ED70E6" w:rsidP="00BD4F20">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سال97</w:t>
            </w:r>
          </w:p>
        </w:tc>
        <w:tc>
          <w:tcPr>
            <w:tcW w:w="1258"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9F574A0" w14:textId="77777777" w:rsidR="00ED70E6" w:rsidRPr="00ED70E6" w:rsidRDefault="00ED70E6" w:rsidP="00BD4F20">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سال98</w:t>
            </w:r>
          </w:p>
        </w:tc>
      </w:tr>
      <w:tr w:rsidR="00ED70E6" w:rsidRPr="00ED70E6" w14:paraId="7E172D2A" w14:textId="77777777" w:rsidTr="00ED70E6">
        <w:trPr>
          <w:trHeight w:val="835"/>
        </w:trPr>
        <w:tc>
          <w:tcPr>
            <w:tcW w:w="2149" w:type="dxa"/>
            <w:tcBorders>
              <w:top w:val="nil"/>
              <w:left w:val="single" w:sz="4" w:space="0" w:color="auto"/>
              <w:bottom w:val="single" w:sz="4" w:space="0" w:color="auto"/>
              <w:right w:val="single" w:sz="4" w:space="0" w:color="auto"/>
            </w:tcBorders>
            <w:shd w:val="clear" w:color="000000" w:fill="BDD7EE"/>
            <w:vAlign w:val="center"/>
            <w:hideMark/>
          </w:tcPr>
          <w:p w14:paraId="3D049463" w14:textId="77777777" w:rsidR="00ED70E6" w:rsidRPr="00ED70E6" w:rsidRDefault="00ED70E6" w:rsidP="00BD4F20">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تعداد شاغلین معادن در حال بهره برداری</w:t>
            </w:r>
          </w:p>
        </w:tc>
        <w:tc>
          <w:tcPr>
            <w:tcW w:w="782" w:type="dxa"/>
            <w:tcBorders>
              <w:top w:val="nil"/>
              <w:left w:val="single" w:sz="4" w:space="0" w:color="auto"/>
              <w:bottom w:val="single" w:sz="4" w:space="0" w:color="auto"/>
              <w:right w:val="single" w:sz="4" w:space="0" w:color="auto"/>
            </w:tcBorders>
            <w:shd w:val="clear" w:color="000000" w:fill="F3F7FB"/>
            <w:vAlign w:val="center"/>
            <w:hideMark/>
          </w:tcPr>
          <w:p w14:paraId="73BD6EDB" w14:textId="77777777" w:rsidR="00ED70E6" w:rsidRPr="00ED70E6" w:rsidRDefault="00ED70E6" w:rsidP="00BD4F20">
            <w:pPr>
              <w:spacing w:after="0" w:line="240" w:lineRule="auto"/>
              <w:jc w:val="center"/>
              <w:rPr>
                <w:rFonts w:ascii="Calibri" w:eastAsia="Times New Roman" w:hAnsi="Calibri" w:cs="B Nazanin"/>
                <w:color w:val="000000"/>
                <w:rtl/>
                <w:lang w:bidi="ar-SA"/>
              </w:rPr>
            </w:pPr>
            <w:r w:rsidRPr="00ED70E6">
              <w:rPr>
                <w:rFonts w:ascii="Calibri" w:eastAsia="Times New Roman" w:hAnsi="Calibri" w:cs="B Nazanin" w:hint="cs"/>
                <w:color w:val="000000"/>
                <w:rtl/>
                <w:lang w:bidi="ar-SA"/>
              </w:rPr>
              <w:t>نفر</w:t>
            </w:r>
          </w:p>
        </w:tc>
        <w:tc>
          <w:tcPr>
            <w:tcW w:w="1267" w:type="dxa"/>
            <w:tcBorders>
              <w:top w:val="nil"/>
              <w:left w:val="single" w:sz="4" w:space="0" w:color="auto"/>
              <w:bottom w:val="single" w:sz="4" w:space="0" w:color="auto"/>
              <w:right w:val="single" w:sz="4" w:space="0" w:color="auto"/>
            </w:tcBorders>
            <w:shd w:val="clear" w:color="000000" w:fill="F3F7FB"/>
            <w:vAlign w:val="center"/>
            <w:hideMark/>
          </w:tcPr>
          <w:p w14:paraId="4552C00B" w14:textId="77777777" w:rsidR="00ED70E6" w:rsidRPr="00E932A9" w:rsidRDefault="00ED70E6" w:rsidP="00BD4F20">
            <w:pPr>
              <w:bidi w:val="0"/>
              <w:spacing w:after="0" w:line="240" w:lineRule="auto"/>
              <w:jc w:val="center"/>
              <w:rPr>
                <w:rFonts w:ascii="IPT Nazanin" w:eastAsia="Times New Roman" w:hAnsi="IPT Nazanin" w:cs="B Nazanin"/>
                <w:color w:val="000000"/>
                <w:rtl/>
                <w:lang w:bidi="ar-SA"/>
              </w:rPr>
            </w:pPr>
            <w:r w:rsidRPr="00E932A9">
              <w:rPr>
                <w:rFonts w:ascii="IPT Nazanin" w:eastAsia="Times New Roman" w:hAnsi="IPT Nazanin" w:cs="B Nazanin"/>
                <w:color w:val="000000"/>
                <w:lang w:bidi="ar-SA"/>
              </w:rPr>
              <w:t>830</w:t>
            </w:r>
          </w:p>
        </w:tc>
        <w:tc>
          <w:tcPr>
            <w:tcW w:w="1267" w:type="dxa"/>
            <w:tcBorders>
              <w:top w:val="nil"/>
              <w:left w:val="single" w:sz="4" w:space="0" w:color="auto"/>
              <w:bottom w:val="single" w:sz="4" w:space="0" w:color="auto"/>
              <w:right w:val="single" w:sz="4" w:space="0" w:color="auto"/>
            </w:tcBorders>
            <w:shd w:val="clear" w:color="000000" w:fill="F3F7FB"/>
            <w:vAlign w:val="center"/>
            <w:hideMark/>
          </w:tcPr>
          <w:p w14:paraId="129E42D6" w14:textId="77777777" w:rsidR="00ED70E6" w:rsidRPr="00E932A9" w:rsidRDefault="00ED70E6" w:rsidP="00BD4F20">
            <w:pPr>
              <w:bidi w:val="0"/>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lang w:bidi="ar-SA"/>
              </w:rPr>
              <w:t>723</w:t>
            </w:r>
          </w:p>
        </w:tc>
        <w:tc>
          <w:tcPr>
            <w:tcW w:w="1267" w:type="dxa"/>
            <w:tcBorders>
              <w:top w:val="nil"/>
              <w:left w:val="single" w:sz="4" w:space="0" w:color="auto"/>
              <w:bottom w:val="single" w:sz="4" w:space="0" w:color="auto"/>
              <w:right w:val="single" w:sz="4" w:space="0" w:color="auto"/>
            </w:tcBorders>
            <w:shd w:val="clear" w:color="000000" w:fill="F3F7FB"/>
            <w:vAlign w:val="center"/>
            <w:hideMark/>
          </w:tcPr>
          <w:p w14:paraId="5C76C13D" w14:textId="77777777" w:rsidR="00ED70E6" w:rsidRPr="00E932A9" w:rsidRDefault="00ED70E6" w:rsidP="00BD4F20">
            <w:pPr>
              <w:bidi w:val="0"/>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lang w:bidi="ar-SA"/>
              </w:rPr>
              <w:t>635</w:t>
            </w:r>
          </w:p>
        </w:tc>
        <w:tc>
          <w:tcPr>
            <w:tcW w:w="1267" w:type="dxa"/>
            <w:tcBorders>
              <w:top w:val="nil"/>
              <w:left w:val="single" w:sz="4" w:space="0" w:color="auto"/>
              <w:bottom w:val="single" w:sz="4" w:space="0" w:color="auto"/>
              <w:right w:val="single" w:sz="4" w:space="0" w:color="auto"/>
            </w:tcBorders>
            <w:shd w:val="clear" w:color="000000" w:fill="F3F7FB"/>
            <w:vAlign w:val="center"/>
            <w:hideMark/>
          </w:tcPr>
          <w:p w14:paraId="52E03586" w14:textId="77777777" w:rsidR="00ED70E6" w:rsidRPr="00E932A9" w:rsidRDefault="00ED70E6" w:rsidP="00BD4F20">
            <w:pPr>
              <w:bidi w:val="0"/>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lang w:bidi="ar-SA"/>
              </w:rPr>
              <w:t>633</w:t>
            </w:r>
          </w:p>
        </w:tc>
        <w:tc>
          <w:tcPr>
            <w:tcW w:w="1258" w:type="dxa"/>
            <w:tcBorders>
              <w:top w:val="nil"/>
              <w:left w:val="single" w:sz="4" w:space="0" w:color="auto"/>
              <w:bottom w:val="single" w:sz="4" w:space="0" w:color="auto"/>
              <w:right w:val="single" w:sz="4" w:space="0" w:color="auto"/>
            </w:tcBorders>
            <w:shd w:val="clear" w:color="000000" w:fill="F3F7FB"/>
            <w:vAlign w:val="center"/>
            <w:hideMark/>
          </w:tcPr>
          <w:p w14:paraId="7E7232E3" w14:textId="77777777" w:rsidR="00ED70E6" w:rsidRPr="00ED70E6" w:rsidRDefault="00ED70E6" w:rsidP="00BD4F20">
            <w:pPr>
              <w:spacing w:after="0" w:line="240" w:lineRule="auto"/>
              <w:jc w:val="center"/>
              <w:rPr>
                <w:rFonts w:ascii="Calibri" w:eastAsia="Times New Roman" w:hAnsi="Calibri" w:cs="B Nazanin"/>
                <w:color w:val="000000"/>
                <w:sz w:val="26"/>
                <w:szCs w:val="26"/>
                <w:lang w:bidi="ar-SA"/>
              </w:rPr>
            </w:pPr>
            <w:r w:rsidRPr="00ED70E6">
              <w:rPr>
                <w:rFonts w:ascii="Calibri" w:eastAsia="Times New Roman" w:hAnsi="Calibri" w:cs="B Nazanin" w:hint="cs"/>
                <w:color w:val="000000"/>
                <w:sz w:val="26"/>
                <w:szCs w:val="26"/>
                <w:rtl/>
                <w:lang w:bidi="ar-SA"/>
              </w:rPr>
              <w:t>عدم وجود اطلاعات</w:t>
            </w:r>
          </w:p>
        </w:tc>
      </w:tr>
    </w:tbl>
    <w:p w14:paraId="4CDB68CC" w14:textId="77777777" w:rsidR="00187114" w:rsidRPr="00A92BDC" w:rsidRDefault="00187114" w:rsidP="00187114">
      <w:pPr>
        <w:jc w:val="center"/>
        <w:rPr>
          <w:rFonts w:ascii="IPT Nazanin" w:hAnsi="IPT Nazanin" w:cs="B Nazanin"/>
          <w:rtl/>
        </w:rPr>
      </w:pPr>
    </w:p>
    <w:p w14:paraId="18502D6F" w14:textId="77777777" w:rsidR="00187114" w:rsidRDefault="00187114" w:rsidP="00187114">
      <w:pPr>
        <w:jc w:val="center"/>
        <w:rPr>
          <w:rFonts w:ascii="IPT Nazanin" w:hAnsi="IPT Nazanin" w:cs="B Nazanin"/>
          <w:sz w:val="24"/>
          <w:szCs w:val="24"/>
          <w:rtl/>
        </w:rPr>
      </w:pPr>
    </w:p>
    <w:p w14:paraId="56EBAE33" w14:textId="77777777" w:rsidR="00D6621B" w:rsidRPr="00A92BDC" w:rsidRDefault="00D6621B" w:rsidP="00187114">
      <w:pPr>
        <w:jc w:val="center"/>
        <w:rPr>
          <w:rFonts w:ascii="IPT Nazanin" w:hAnsi="IPT Nazanin" w:cs="B Nazanin"/>
          <w:sz w:val="24"/>
          <w:szCs w:val="24"/>
        </w:rPr>
      </w:pPr>
    </w:p>
    <w:p w14:paraId="2A86C12E" w14:textId="77777777" w:rsidR="00187114" w:rsidRDefault="00187114" w:rsidP="00187114">
      <w:pPr>
        <w:jc w:val="center"/>
        <w:rPr>
          <w:rFonts w:ascii="IPT Nazanin" w:hAnsi="IPT Nazanin" w:cs="B Nazanin"/>
          <w:sz w:val="24"/>
          <w:szCs w:val="24"/>
          <w:rtl/>
        </w:rPr>
      </w:pPr>
    </w:p>
    <w:p w14:paraId="0EADD5B5" w14:textId="77777777" w:rsidR="006928DA" w:rsidRPr="00A92BDC" w:rsidRDefault="006928DA" w:rsidP="00187114">
      <w:pPr>
        <w:jc w:val="center"/>
        <w:rPr>
          <w:rFonts w:ascii="IPT Nazanin" w:hAnsi="IPT Nazanin" w:cs="B Nazanin"/>
          <w:sz w:val="24"/>
          <w:szCs w:val="24"/>
        </w:rPr>
      </w:pPr>
    </w:p>
    <w:p w14:paraId="3DEC4BFB" w14:textId="77777777" w:rsidR="00187114" w:rsidRPr="00A92BDC" w:rsidRDefault="00187114" w:rsidP="00B24351">
      <w:pPr>
        <w:rPr>
          <w:rFonts w:ascii="IPT Nazanin" w:hAnsi="IPT Nazanin" w:cs="B Nazanin"/>
          <w:sz w:val="24"/>
          <w:szCs w:val="24"/>
        </w:rPr>
      </w:pPr>
    </w:p>
    <w:p w14:paraId="2D2BC41C"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lastRenderedPageBreak/>
        <w:t xml:space="preserve">نمودار(4-1): تعداد شاغلین معادن در حال بهره برداری </w:t>
      </w:r>
    </w:p>
    <w:p w14:paraId="030F3D8B" w14:textId="24968DD4" w:rsidR="00187114" w:rsidRPr="00A92BDC" w:rsidRDefault="00ED70E6" w:rsidP="00187114">
      <w:pPr>
        <w:jc w:val="center"/>
        <w:rPr>
          <w:rFonts w:ascii="IPT Nazanin" w:hAnsi="IPT Nazanin" w:cs="B Nazanin"/>
          <w:rtl/>
        </w:rPr>
      </w:pPr>
      <w:r>
        <w:rPr>
          <w:noProof/>
          <w:lang w:bidi="ar-SA"/>
        </w:rPr>
        <w:drawing>
          <wp:inline distT="0" distB="0" distL="0" distR="0" wp14:anchorId="3ECBC546" wp14:editId="18DF9B33">
            <wp:extent cx="5786077" cy="2919730"/>
            <wp:effectExtent l="76200" t="76200" r="81915" b="7112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1335CC8" w14:textId="7F623790" w:rsidR="00E932A9" w:rsidRDefault="00187114" w:rsidP="00E82D4F">
      <w:pPr>
        <w:spacing w:line="240" w:lineRule="auto"/>
        <w:ind w:right="283"/>
        <w:jc w:val="both"/>
        <w:rPr>
          <w:rFonts w:ascii="IPT Nazanin" w:hAnsi="IPT Nazanin" w:cs="B Nazanin"/>
          <w:sz w:val="24"/>
          <w:szCs w:val="24"/>
          <w:rtl/>
        </w:rPr>
      </w:pPr>
      <w:r w:rsidRPr="00A92BDC">
        <w:rPr>
          <w:rFonts w:ascii="IPT Nazanin" w:hAnsi="IPT Nazanin" w:cs="B Nazanin"/>
          <w:sz w:val="24"/>
          <w:szCs w:val="24"/>
          <w:rtl/>
        </w:rPr>
        <w:t xml:space="preserve">تعداد شاغلین بخش معادن در شهرستان نطنز در </w:t>
      </w:r>
      <w:r w:rsidR="00E932A9">
        <w:rPr>
          <w:rFonts w:ascii="IPT Nazanin" w:hAnsi="IPT Nazanin" w:cs="B Nazanin" w:hint="cs"/>
          <w:sz w:val="24"/>
          <w:szCs w:val="24"/>
          <w:rtl/>
        </w:rPr>
        <w:t xml:space="preserve">بین </w:t>
      </w:r>
      <w:r w:rsidRPr="00A92BDC">
        <w:rPr>
          <w:rFonts w:ascii="IPT Nazanin" w:hAnsi="IPT Nazanin" w:cs="B Nazanin"/>
          <w:sz w:val="24"/>
          <w:szCs w:val="24"/>
          <w:rtl/>
        </w:rPr>
        <w:t>سال</w:t>
      </w:r>
      <w:r w:rsidR="00E932A9">
        <w:rPr>
          <w:rFonts w:ascii="IPT Nazanin" w:hAnsi="IPT Nazanin" w:cs="B Nazanin" w:hint="cs"/>
          <w:sz w:val="24"/>
          <w:szCs w:val="24"/>
          <w:rtl/>
        </w:rPr>
        <w:t xml:space="preserve"> های 97-94 روند کاهشی داشته است. همچنین داده های مربوط به سال 98 موجود نیست.</w:t>
      </w:r>
    </w:p>
    <w:p w14:paraId="19395FD8" w14:textId="77777777" w:rsidR="00187114" w:rsidRPr="00A92BDC" w:rsidRDefault="00187114" w:rsidP="00187114">
      <w:pPr>
        <w:jc w:val="lowKashida"/>
        <w:rPr>
          <w:rFonts w:ascii="IPT Nazanin" w:hAnsi="IPT Nazanin" w:cs="B Nazanin"/>
          <w:sz w:val="24"/>
          <w:szCs w:val="24"/>
          <w:rtl/>
        </w:rPr>
      </w:pPr>
    </w:p>
    <w:p w14:paraId="35225B24" w14:textId="77777777" w:rsidR="00187114" w:rsidRPr="00A92BDC" w:rsidRDefault="00187114" w:rsidP="00187114">
      <w:pPr>
        <w:rPr>
          <w:rFonts w:ascii="IPT Nazanin" w:hAnsi="IPT Nazanin" w:cs="B Nazanin"/>
          <w:b/>
          <w:bCs/>
          <w:sz w:val="26"/>
          <w:szCs w:val="26"/>
          <w:rtl/>
        </w:rPr>
      </w:pPr>
      <w:r w:rsidRPr="00A92BDC">
        <w:rPr>
          <w:rFonts w:ascii="IPT Nazanin" w:hAnsi="IPT Nazanin" w:cs="B Nazanin"/>
          <w:b/>
          <w:bCs/>
          <w:sz w:val="26"/>
          <w:szCs w:val="26"/>
          <w:rtl/>
        </w:rPr>
        <w:t>1-5- بخش تولید</w:t>
      </w:r>
    </w:p>
    <w:p w14:paraId="676719CB" w14:textId="77777777" w:rsidR="00ED70E6" w:rsidRDefault="00187114" w:rsidP="00ED70E6">
      <w:pPr>
        <w:jc w:val="center"/>
        <w:rPr>
          <w:rFonts w:ascii="IPT Nazanin" w:hAnsi="IPT Nazanin" w:cs="B Nazanin"/>
          <w:sz w:val="24"/>
          <w:szCs w:val="24"/>
        </w:rPr>
      </w:pPr>
      <w:r w:rsidRPr="00A92BDC">
        <w:rPr>
          <w:rFonts w:ascii="IPT Nazanin" w:hAnsi="IPT Nazanin" w:cs="B Nazanin"/>
          <w:sz w:val="24"/>
          <w:szCs w:val="24"/>
          <w:rtl/>
        </w:rPr>
        <w:t>جدول (5-1): اطلاعات مربوط به شاخص</w:t>
      </w:r>
      <w:r w:rsidRPr="00A92BDC">
        <w:rPr>
          <w:rFonts w:ascii="IPT Nazanin" w:hAnsi="IPT Nazanin" w:cs="B Nazanin"/>
          <w:sz w:val="24"/>
          <w:szCs w:val="24"/>
          <w:rtl/>
        </w:rPr>
        <w:softHyphen/>
        <w:t>‌های بخش تولید</w:t>
      </w:r>
    </w:p>
    <w:tbl>
      <w:tblPr>
        <w:bidiVisual/>
        <w:tblW w:w="9415" w:type="dxa"/>
        <w:tblLook w:val="04A0" w:firstRow="1" w:lastRow="0" w:firstColumn="1" w:lastColumn="0" w:noHBand="0" w:noVBand="1"/>
      </w:tblPr>
      <w:tblGrid>
        <w:gridCol w:w="2213"/>
        <w:gridCol w:w="782"/>
        <w:gridCol w:w="1287"/>
        <w:gridCol w:w="1286"/>
        <w:gridCol w:w="1287"/>
        <w:gridCol w:w="1286"/>
        <w:gridCol w:w="1274"/>
      </w:tblGrid>
      <w:tr w:rsidR="00ED70E6" w:rsidRPr="00ED70E6" w14:paraId="1FAB8D31" w14:textId="77777777" w:rsidTr="00ED70E6">
        <w:trPr>
          <w:trHeight w:val="301"/>
        </w:trPr>
        <w:tc>
          <w:tcPr>
            <w:tcW w:w="2451"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B6BE265" w14:textId="77777777" w:rsidR="00ED70E6" w:rsidRPr="00ED70E6" w:rsidRDefault="00ED70E6" w:rsidP="00ED70E6">
            <w:pPr>
              <w:spacing w:after="0" w:line="240" w:lineRule="auto"/>
              <w:jc w:val="center"/>
              <w:rPr>
                <w:rFonts w:ascii="Calibri" w:eastAsia="Times New Roman" w:hAnsi="Calibri" w:cs="B Nazanin"/>
                <w:b/>
                <w:bCs/>
                <w:color w:val="262626"/>
                <w:lang w:bidi="ar-SA"/>
              </w:rPr>
            </w:pPr>
            <w:r w:rsidRPr="00ED70E6">
              <w:rPr>
                <w:rFonts w:ascii="Calibri" w:eastAsia="Times New Roman" w:hAnsi="Calibri" w:cs="B Nazanin" w:hint="cs"/>
                <w:b/>
                <w:bCs/>
                <w:color w:val="262626"/>
                <w:rtl/>
                <w:lang w:bidi="ar-SA"/>
              </w:rPr>
              <w:t>شاخص</w:t>
            </w:r>
          </w:p>
        </w:tc>
        <w:tc>
          <w:tcPr>
            <w:tcW w:w="236"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44D9000D"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معیار سنجش</w:t>
            </w:r>
          </w:p>
        </w:tc>
        <w:tc>
          <w:tcPr>
            <w:tcW w:w="134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3E3D7E0"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سال94</w:t>
            </w:r>
          </w:p>
        </w:tc>
        <w:tc>
          <w:tcPr>
            <w:tcW w:w="1342" w:type="dxa"/>
            <w:tcBorders>
              <w:top w:val="single" w:sz="4" w:space="0" w:color="auto"/>
              <w:left w:val="single" w:sz="4" w:space="0" w:color="auto"/>
              <w:bottom w:val="single" w:sz="4" w:space="0" w:color="auto"/>
              <w:right w:val="nil"/>
            </w:tcBorders>
            <w:shd w:val="clear" w:color="000000" w:fill="BDD7EE"/>
            <w:vAlign w:val="center"/>
            <w:hideMark/>
          </w:tcPr>
          <w:p w14:paraId="66DD8E74"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سال95</w:t>
            </w:r>
          </w:p>
        </w:tc>
        <w:tc>
          <w:tcPr>
            <w:tcW w:w="134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5CAEEF6D"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سال96</w:t>
            </w:r>
          </w:p>
        </w:tc>
        <w:tc>
          <w:tcPr>
            <w:tcW w:w="134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E240908"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سال97</w:t>
            </w:r>
          </w:p>
        </w:tc>
        <w:tc>
          <w:tcPr>
            <w:tcW w:w="136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77B48FC"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سال98</w:t>
            </w:r>
          </w:p>
        </w:tc>
      </w:tr>
      <w:tr w:rsidR="00ED70E6" w:rsidRPr="00ED70E6" w14:paraId="0D02CFFD" w14:textId="77777777" w:rsidTr="00ED70E6">
        <w:trPr>
          <w:trHeight w:val="826"/>
        </w:trPr>
        <w:tc>
          <w:tcPr>
            <w:tcW w:w="2451" w:type="dxa"/>
            <w:tcBorders>
              <w:top w:val="nil"/>
              <w:left w:val="single" w:sz="4" w:space="0" w:color="auto"/>
              <w:bottom w:val="single" w:sz="4" w:space="0" w:color="auto"/>
              <w:right w:val="single" w:sz="4" w:space="0" w:color="auto"/>
            </w:tcBorders>
            <w:shd w:val="clear" w:color="000000" w:fill="BDD7EE"/>
            <w:vAlign w:val="center"/>
            <w:hideMark/>
          </w:tcPr>
          <w:p w14:paraId="740155A8"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ارزش تولیدات معادن در حال بهره برداری</w:t>
            </w:r>
          </w:p>
        </w:tc>
        <w:tc>
          <w:tcPr>
            <w:tcW w:w="236" w:type="dxa"/>
            <w:tcBorders>
              <w:top w:val="nil"/>
              <w:left w:val="single" w:sz="4" w:space="0" w:color="auto"/>
              <w:bottom w:val="single" w:sz="4" w:space="0" w:color="auto"/>
              <w:right w:val="single" w:sz="4" w:space="0" w:color="auto"/>
            </w:tcBorders>
            <w:shd w:val="clear" w:color="auto" w:fill="auto"/>
            <w:vAlign w:val="center"/>
            <w:hideMark/>
          </w:tcPr>
          <w:p w14:paraId="7240144D" w14:textId="77777777" w:rsidR="00ED70E6" w:rsidRPr="00ED70E6" w:rsidRDefault="00ED70E6" w:rsidP="00ED70E6">
            <w:pPr>
              <w:spacing w:after="0" w:line="240" w:lineRule="auto"/>
              <w:jc w:val="center"/>
              <w:rPr>
                <w:rFonts w:ascii="Calibri" w:eastAsia="Times New Roman" w:hAnsi="Calibri" w:cs="B Nazanin"/>
                <w:color w:val="000000"/>
                <w:rtl/>
                <w:lang w:bidi="ar-SA"/>
              </w:rPr>
            </w:pPr>
            <w:r w:rsidRPr="00ED70E6">
              <w:rPr>
                <w:rFonts w:ascii="Calibri" w:eastAsia="Times New Roman" w:hAnsi="Calibri" w:cs="B Nazanin" w:hint="cs"/>
                <w:color w:val="000000"/>
                <w:rtl/>
                <w:lang w:bidi="ar-SA"/>
              </w:rPr>
              <w:t>میلیون ریال</w:t>
            </w:r>
          </w:p>
        </w:tc>
        <w:tc>
          <w:tcPr>
            <w:tcW w:w="1342" w:type="dxa"/>
            <w:tcBorders>
              <w:top w:val="nil"/>
              <w:left w:val="single" w:sz="4" w:space="0" w:color="auto"/>
              <w:bottom w:val="single" w:sz="4" w:space="0" w:color="auto"/>
              <w:right w:val="single" w:sz="4" w:space="0" w:color="auto"/>
            </w:tcBorders>
            <w:shd w:val="clear" w:color="000000" w:fill="FFFFFF"/>
            <w:vAlign w:val="center"/>
            <w:hideMark/>
          </w:tcPr>
          <w:p w14:paraId="1F57BAFF" w14:textId="77777777" w:rsidR="00ED70E6" w:rsidRPr="00E932A9" w:rsidRDefault="00ED70E6" w:rsidP="00ED70E6">
            <w:pPr>
              <w:bidi w:val="0"/>
              <w:spacing w:after="0" w:line="240" w:lineRule="auto"/>
              <w:jc w:val="center"/>
              <w:rPr>
                <w:rFonts w:ascii="IPT Nazanin" w:eastAsia="Times New Roman" w:hAnsi="IPT Nazanin" w:cs="B Nazanin"/>
                <w:color w:val="000000"/>
                <w:rtl/>
                <w:lang w:bidi="ar-SA"/>
              </w:rPr>
            </w:pPr>
            <w:r w:rsidRPr="00E932A9">
              <w:rPr>
                <w:rFonts w:ascii="IPT Nazanin" w:eastAsia="Times New Roman" w:hAnsi="IPT Nazanin" w:cs="B Nazanin"/>
                <w:color w:val="000000"/>
                <w:lang w:bidi="ar-SA"/>
              </w:rPr>
              <w:t>641,951</w:t>
            </w:r>
          </w:p>
        </w:tc>
        <w:tc>
          <w:tcPr>
            <w:tcW w:w="1342" w:type="dxa"/>
            <w:tcBorders>
              <w:top w:val="nil"/>
              <w:left w:val="single" w:sz="4" w:space="0" w:color="auto"/>
              <w:bottom w:val="single" w:sz="4" w:space="0" w:color="auto"/>
              <w:right w:val="single" w:sz="4" w:space="0" w:color="auto"/>
            </w:tcBorders>
            <w:shd w:val="clear" w:color="000000" w:fill="FFFFFF"/>
            <w:vAlign w:val="center"/>
            <w:hideMark/>
          </w:tcPr>
          <w:p w14:paraId="03AD8735" w14:textId="77777777" w:rsidR="00ED70E6" w:rsidRPr="00E932A9" w:rsidRDefault="00ED70E6" w:rsidP="00ED70E6">
            <w:pPr>
              <w:bidi w:val="0"/>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lang w:bidi="ar-SA"/>
              </w:rPr>
              <w:t>693,731</w:t>
            </w:r>
          </w:p>
        </w:tc>
        <w:tc>
          <w:tcPr>
            <w:tcW w:w="1342" w:type="dxa"/>
            <w:tcBorders>
              <w:top w:val="nil"/>
              <w:left w:val="single" w:sz="4" w:space="0" w:color="auto"/>
              <w:bottom w:val="single" w:sz="4" w:space="0" w:color="auto"/>
              <w:right w:val="single" w:sz="4" w:space="0" w:color="auto"/>
            </w:tcBorders>
            <w:shd w:val="clear" w:color="000000" w:fill="FFFFFF"/>
            <w:vAlign w:val="center"/>
            <w:hideMark/>
          </w:tcPr>
          <w:p w14:paraId="3328A311" w14:textId="77777777" w:rsidR="00ED70E6" w:rsidRPr="00E932A9" w:rsidRDefault="00ED70E6" w:rsidP="00ED70E6">
            <w:pPr>
              <w:bidi w:val="0"/>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lang w:bidi="ar-SA"/>
              </w:rPr>
              <w:t>689,864</w:t>
            </w:r>
          </w:p>
        </w:tc>
        <w:tc>
          <w:tcPr>
            <w:tcW w:w="1342" w:type="dxa"/>
            <w:tcBorders>
              <w:top w:val="nil"/>
              <w:left w:val="single" w:sz="4" w:space="0" w:color="auto"/>
              <w:bottom w:val="single" w:sz="4" w:space="0" w:color="auto"/>
              <w:right w:val="single" w:sz="4" w:space="0" w:color="auto"/>
            </w:tcBorders>
            <w:shd w:val="clear" w:color="000000" w:fill="FFFFFF"/>
            <w:vAlign w:val="center"/>
            <w:hideMark/>
          </w:tcPr>
          <w:p w14:paraId="3904A076" w14:textId="77777777" w:rsidR="00ED70E6" w:rsidRPr="00E932A9" w:rsidRDefault="00ED70E6" w:rsidP="00ED70E6">
            <w:pPr>
              <w:bidi w:val="0"/>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lang w:bidi="ar-SA"/>
              </w:rPr>
              <w:t>814,671</w:t>
            </w:r>
          </w:p>
        </w:tc>
        <w:tc>
          <w:tcPr>
            <w:tcW w:w="1360" w:type="dxa"/>
            <w:tcBorders>
              <w:top w:val="nil"/>
              <w:left w:val="single" w:sz="4" w:space="0" w:color="auto"/>
              <w:bottom w:val="single" w:sz="4" w:space="0" w:color="auto"/>
              <w:right w:val="single" w:sz="4" w:space="0" w:color="auto"/>
            </w:tcBorders>
            <w:shd w:val="clear" w:color="000000" w:fill="FFFFFF"/>
            <w:vAlign w:val="center"/>
            <w:hideMark/>
          </w:tcPr>
          <w:p w14:paraId="018CAE2E" w14:textId="77777777" w:rsidR="00ED70E6" w:rsidRPr="00E932A9" w:rsidRDefault="00ED70E6" w:rsidP="00ED70E6">
            <w:pPr>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rtl/>
                <w:lang w:bidi="ar-SA"/>
              </w:rPr>
              <w:t>عدم وجود اطلاعات</w:t>
            </w:r>
          </w:p>
        </w:tc>
      </w:tr>
      <w:tr w:rsidR="00ED70E6" w:rsidRPr="00ED70E6" w14:paraId="0FDDA8B5" w14:textId="77777777" w:rsidTr="00ED70E6">
        <w:trPr>
          <w:trHeight w:val="826"/>
        </w:trPr>
        <w:tc>
          <w:tcPr>
            <w:tcW w:w="2451" w:type="dxa"/>
            <w:tcBorders>
              <w:top w:val="nil"/>
              <w:left w:val="single" w:sz="4" w:space="0" w:color="auto"/>
              <w:bottom w:val="single" w:sz="4" w:space="0" w:color="auto"/>
              <w:right w:val="single" w:sz="4" w:space="0" w:color="auto"/>
            </w:tcBorders>
            <w:shd w:val="clear" w:color="000000" w:fill="BDD7EE"/>
            <w:vAlign w:val="center"/>
            <w:hideMark/>
          </w:tcPr>
          <w:p w14:paraId="3FF1D602" w14:textId="77777777" w:rsidR="00ED70E6" w:rsidRPr="00ED70E6" w:rsidRDefault="00ED70E6" w:rsidP="00ED70E6">
            <w:pPr>
              <w:spacing w:after="0" w:line="240" w:lineRule="auto"/>
              <w:jc w:val="center"/>
              <w:rPr>
                <w:rFonts w:ascii="Calibri" w:eastAsia="Times New Roman" w:hAnsi="Calibri" w:cs="B Nazanin"/>
                <w:b/>
                <w:bCs/>
                <w:color w:val="262626"/>
                <w:rtl/>
                <w:lang w:bidi="ar-SA"/>
              </w:rPr>
            </w:pPr>
            <w:r w:rsidRPr="00ED70E6">
              <w:rPr>
                <w:rFonts w:ascii="Calibri" w:eastAsia="Times New Roman" w:hAnsi="Calibri" w:cs="B Nazanin" w:hint="cs"/>
                <w:b/>
                <w:bCs/>
                <w:color w:val="262626"/>
                <w:rtl/>
                <w:lang w:bidi="ar-SA"/>
              </w:rPr>
              <w:t>ارزش افزوده معادن در حال بهره برداری</w:t>
            </w:r>
          </w:p>
        </w:tc>
        <w:tc>
          <w:tcPr>
            <w:tcW w:w="236" w:type="dxa"/>
            <w:tcBorders>
              <w:top w:val="nil"/>
              <w:left w:val="single" w:sz="4" w:space="0" w:color="auto"/>
              <w:bottom w:val="single" w:sz="4" w:space="0" w:color="auto"/>
              <w:right w:val="single" w:sz="4" w:space="0" w:color="auto"/>
            </w:tcBorders>
            <w:shd w:val="clear" w:color="000000" w:fill="F3F7FB"/>
            <w:vAlign w:val="center"/>
            <w:hideMark/>
          </w:tcPr>
          <w:p w14:paraId="3BABD970" w14:textId="77777777" w:rsidR="00ED70E6" w:rsidRPr="00ED70E6" w:rsidRDefault="00ED70E6" w:rsidP="00ED70E6">
            <w:pPr>
              <w:spacing w:after="0" w:line="240" w:lineRule="auto"/>
              <w:jc w:val="center"/>
              <w:rPr>
                <w:rFonts w:ascii="Calibri" w:eastAsia="Times New Roman" w:hAnsi="Calibri" w:cs="B Nazanin"/>
                <w:color w:val="000000"/>
                <w:rtl/>
                <w:lang w:bidi="ar-SA"/>
              </w:rPr>
            </w:pPr>
            <w:r w:rsidRPr="00ED70E6">
              <w:rPr>
                <w:rFonts w:ascii="Calibri" w:eastAsia="Times New Roman" w:hAnsi="Calibri" w:cs="B Nazanin" w:hint="cs"/>
                <w:color w:val="000000"/>
                <w:rtl/>
                <w:lang w:bidi="ar-SA"/>
              </w:rPr>
              <w:t>میلیون ریال</w:t>
            </w:r>
          </w:p>
        </w:tc>
        <w:tc>
          <w:tcPr>
            <w:tcW w:w="1342" w:type="dxa"/>
            <w:tcBorders>
              <w:top w:val="nil"/>
              <w:left w:val="single" w:sz="4" w:space="0" w:color="auto"/>
              <w:bottom w:val="single" w:sz="4" w:space="0" w:color="auto"/>
              <w:right w:val="single" w:sz="4" w:space="0" w:color="auto"/>
            </w:tcBorders>
            <w:shd w:val="clear" w:color="000000" w:fill="F3F7FB"/>
            <w:vAlign w:val="center"/>
            <w:hideMark/>
          </w:tcPr>
          <w:p w14:paraId="4AC18397" w14:textId="77777777" w:rsidR="00ED70E6" w:rsidRPr="00E932A9" w:rsidRDefault="00ED70E6" w:rsidP="00ED70E6">
            <w:pPr>
              <w:bidi w:val="0"/>
              <w:spacing w:after="0" w:line="240" w:lineRule="auto"/>
              <w:jc w:val="center"/>
              <w:rPr>
                <w:rFonts w:ascii="IPT Nazanin" w:eastAsia="Times New Roman" w:hAnsi="IPT Nazanin" w:cs="B Nazanin"/>
                <w:color w:val="000000"/>
                <w:rtl/>
                <w:lang w:bidi="ar-SA"/>
              </w:rPr>
            </w:pPr>
            <w:r w:rsidRPr="00E932A9">
              <w:rPr>
                <w:rFonts w:ascii="IPT Nazanin" w:eastAsia="Times New Roman" w:hAnsi="IPT Nazanin" w:cs="B Nazanin"/>
                <w:color w:val="000000"/>
                <w:lang w:bidi="ar-SA"/>
              </w:rPr>
              <w:t>422,918</w:t>
            </w:r>
          </w:p>
        </w:tc>
        <w:tc>
          <w:tcPr>
            <w:tcW w:w="1342" w:type="dxa"/>
            <w:tcBorders>
              <w:top w:val="nil"/>
              <w:left w:val="single" w:sz="4" w:space="0" w:color="auto"/>
              <w:bottom w:val="single" w:sz="4" w:space="0" w:color="auto"/>
              <w:right w:val="single" w:sz="4" w:space="0" w:color="auto"/>
            </w:tcBorders>
            <w:shd w:val="clear" w:color="000000" w:fill="F3F7FB"/>
            <w:vAlign w:val="center"/>
            <w:hideMark/>
          </w:tcPr>
          <w:p w14:paraId="7CE212E4" w14:textId="77777777" w:rsidR="00ED70E6" w:rsidRPr="00E932A9" w:rsidRDefault="00ED70E6" w:rsidP="00ED70E6">
            <w:pPr>
              <w:bidi w:val="0"/>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lang w:bidi="ar-SA"/>
              </w:rPr>
              <w:t>518,469</w:t>
            </w:r>
          </w:p>
        </w:tc>
        <w:tc>
          <w:tcPr>
            <w:tcW w:w="1342" w:type="dxa"/>
            <w:tcBorders>
              <w:top w:val="nil"/>
              <w:left w:val="single" w:sz="4" w:space="0" w:color="auto"/>
              <w:bottom w:val="single" w:sz="4" w:space="0" w:color="auto"/>
              <w:right w:val="single" w:sz="4" w:space="0" w:color="auto"/>
            </w:tcBorders>
            <w:shd w:val="clear" w:color="000000" w:fill="F3F7FB"/>
            <w:vAlign w:val="center"/>
            <w:hideMark/>
          </w:tcPr>
          <w:p w14:paraId="07FBA945" w14:textId="77777777" w:rsidR="00ED70E6" w:rsidRPr="00E932A9" w:rsidRDefault="00ED70E6" w:rsidP="00ED70E6">
            <w:pPr>
              <w:bidi w:val="0"/>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lang w:bidi="ar-SA"/>
              </w:rPr>
              <w:t>505,422</w:t>
            </w:r>
          </w:p>
        </w:tc>
        <w:tc>
          <w:tcPr>
            <w:tcW w:w="1342" w:type="dxa"/>
            <w:tcBorders>
              <w:top w:val="nil"/>
              <w:left w:val="single" w:sz="4" w:space="0" w:color="auto"/>
              <w:bottom w:val="single" w:sz="4" w:space="0" w:color="auto"/>
              <w:right w:val="single" w:sz="4" w:space="0" w:color="auto"/>
            </w:tcBorders>
            <w:shd w:val="clear" w:color="000000" w:fill="F3F7FB"/>
            <w:vAlign w:val="center"/>
            <w:hideMark/>
          </w:tcPr>
          <w:p w14:paraId="5C997A08" w14:textId="77777777" w:rsidR="00ED70E6" w:rsidRPr="00E932A9" w:rsidRDefault="00ED70E6" w:rsidP="00ED70E6">
            <w:pPr>
              <w:bidi w:val="0"/>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lang w:bidi="ar-SA"/>
              </w:rPr>
              <w:t>602,089</w:t>
            </w:r>
          </w:p>
        </w:tc>
        <w:tc>
          <w:tcPr>
            <w:tcW w:w="1360" w:type="dxa"/>
            <w:tcBorders>
              <w:top w:val="nil"/>
              <w:left w:val="single" w:sz="4" w:space="0" w:color="auto"/>
              <w:bottom w:val="single" w:sz="4" w:space="0" w:color="auto"/>
              <w:right w:val="single" w:sz="4" w:space="0" w:color="auto"/>
            </w:tcBorders>
            <w:shd w:val="clear" w:color="000000" w:fill="F3F7FB"/>
            <w:vAlign w:val="center"/>
            <w:hideMark/>
          </w:tcPr>
          <w:p w14:paraId="06EB6711" w14:textId="77777777" w:rsidR="00ED70E6" w:rsidRPr="00E932A9" w:rsidRDefault="00ED70E6" w:rsidP="00ED70E6">
            <w:pPr>
              <w:spacing w:after="0" w:line="240" w:lineRule="auto"/>
              <w:jc w:val="center"/>
              <w:rPr>
                <w:rFonts w:ascii="IPT Nazanin" w:eastAsia="Times New Roman" w:hAnsi="IPT Nazanin" w:cs="B Nazanin"/>
                <w:color w:val="000000"/>
                <w:lang w:bidi="ar-SA"/>
              </w:rPr>
            </w:pPr>
            <w:r w:rsidRPr="00E932A9">
              <w:rPr>
                <w:rFonts w:ascii="IPT Nazanin" w:eastAsia="Times New Roman" w:hAnsi="IPT Nazanin" w:cs="B Nazanin"/>
                <w:color w:val="000000"/>
                <w:rtl/>
                <w:lang w:bidi="ar-SA"/>
              </w:rPr>
              <w:t>عدم وجود اطلاعات</w:t>
            </w:r>
          </w:p>
        </w:tc>
      </w:tr>
    </w:tbl>
    <w:p w14:paraId="5DC298A8" w14:textId="42D64CD3" w:rsidR="00ED70E6" w:rsidRDefault="00ED70E6" w:rsidP="00ED70E6">
      <w:pPr>
        <w:jc w:val="center"/>
        <w:rPr>
          <w:rFonts w:ascii="IPT Nazanin" w:hAnsi="IPT Nazanin" w:cs="B Nazanin"/>
          <w:sz w:val="24"/>
          <w:szCs w:val="24"/>
        </w:rPr>
      </w:pPr>
    </w:p>
    <w:p w14:paraId="324E19E3" w14:textId="7943EE21" w:rsidR="00ED70E6" w:rsidRDefault="00ED70E6" w:rsidP="00ED70E6">
      <w:pPr>
        <w:jc w:val="center"/>
        <w:rPr>
          <w:rFonts w:ascii="IPT Nazanin" w:hAnsi="IPT Nazanin" w:cs="B Nazanin"/>
          <w:sz w:val="24"/>
          <w:szCs w:val="24"/>
        </w:rPr>
      </w:pPr>
    </w:p>
    <w:p w14:paraId="2522C85D" w14:textId="77777777" w:rsidR="00334E83" w:rsidRDefault="00334E83" w:rsidP="00ED70E6">
      <w:pPr>
        <w:jc w:val="center"/>
        <w:rPr>
          <w:rFonts w:ascii="IPT Nazanin" w:hAnsi="IPT Nazanin" w:cs="B Nazanin"/>
          <w:sz w:val="24"/>
          <w:szCs w:val="24"/>
        </w:rPr>
      </w:pPr>
    </w:p>
    <w:p w14:paraId="771AED6E" w14:textId="77777777" w:rsidR="00334E83" w:rsidRDefault="00334E83" w:rsidP="00ED70E6">
      <w:pPr>
        <w:jc w:val="center"/>
        <w:rPr>
          <w:rFonts w:ascii="IPT Nazanin" w:hAnsi="IPT Nazanin" w:cs="B Nazanin"/>
          <w:sz w:val="24"/>
          <w:szCs w:val="24"/>
        </w:rPr>
      </w:pPr>
    </w:p>
    <w:p w14:paraId="74CFE378" w14:textId="426D5321" w:rsidR="00187114" w:rsidRPr="00A92BDC" w:rsidRDefault="00187114" w:rsidP="00ED70E6">
      <w:pPr>
        <w:jc w:val="center"/>
        <w:rPr>
          <w:rFonts w:ascii="IPT Nazanin" w:hAnsi="IPT Nazanin" w:cs="B Nazanin"/>
          <w:sz w:val="24"/>
          <w:szCs w:val="24"/>
          <w:rtl/>
        </w:rPr>
      </w:pPr>
      <w:r w:rsidRPr="00A92BDC">
        <w:rPr>
          <w:rFonts w:ascii="IPT Nazanin" w:hAnsi="IPT Nazanin" w:cs="B Nazanin"/>
          <w:sz w:val="24"/>
          <w:szCs w:val="24"/>
          <w:rtl/>
        </w:rPr>
        <w:lastRenderedPageBreak/>
        <w:t xml:space="preserve">نمودار(5-1): ارزش تولیدات معادن در حال بهره برداری </w:t>
      </w:r>
    </w:p>
    <w:p w14:paraId="665666CE" w14:textId="2D9978EA" w:rsidR="00187114" w:rsidRPr="00A92BDC" w:rsidRDefault="00ED70E6" w:rsidP="00187114">
      <w:pPr>
        <w:jc w:val="center"/>
        <w:rPr>
          <w:rFonts w:ascii="IPT Nazanin" w:hAnsi="IPT Nazanin" w:cs="B Nazanin"/>
          <w:rtl/>
        </w:rPr>
      </w:pPr>
      <w:r>
        <w:rPr>
          <w:noProof/>
          <w:lang w:bidi="ar-SA"/>
        </w:rPr>
        <w:drawing>
          <wp:inline distT="0" distB="0" distL="0" distR="0" wp14:anchorId="73C06A31" wp14:editId="4CA5EB2A">
            <wp:extent cx="5678501" cy="2454275"/>
            <wp:effectExtent l="76200" t="76200" r="74930" b="7937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BA1F15A" w14:textId="518161B0" w:rsidR="00334E83" w:rsidRDefault="00187114" w:rsidP="00E82D4F">
      <w:pPr>
        <w:spacing w:line="240" w:lineRule="auto"/>
        <w:ind w:left="227" w:right="283"/>
        <w:jc w:val="both"/>
        <w:rPr>
          <w:rFonts w:ascii="IPT Nazanin" w:hAnsi="IPT Nazanin" w:cs="B Nazanin"/>
          <w:sz w:val="24"/>
          <w:szCs w:val="24"/>
          <w:rtl/>
        </w:rPr>
      </w:pPr>
      <w:r w:rsidRPr="00A92BDC">
        <w:rPr>
          <w:rFonts w:ascii="IPT Nazanin" w:hAnsi="IPT Nazanin" w:cs="B Nazanin"/>
          <w:sz w:val="24"/>
          <w:szCs w:val="24"/>
          <w:rtl/>
        </w:rPr>
        <w:t>ارزش تولیدات معدنی در سال</w:t>
      </w:r>
      <w:r w:rsidR="00334E83">
        <w:rPr>
          <w:rFonts w:ascii="IPT Nazanin" w:hAnsi="IPT Nazanin" w:cs="B Nazanin" w:hint="cs"/>
          <w:sz w:val="24"/>
          <w:szCs w:val="24"/>
          <w:rtl/>
        </w:rPr>
        <w:t xml:space="preserve"> 97 رشد 1.2 برابری را نسبت به سال 94 تجربه کرده است.</w:t>
      </w:r>
    </w:p>
    <w:p w14:paraId="1BB2E28D" w14:textId="303A3DA0" w:rsidR="00187114" w:rsidRPr="00A92BDC" w:rsidRDefault="00187114" w:rsidP="00334E83">
      <w:pPr>
        <w:spacing w:line="240" w:lineRule="auto"/>
        <w:ind w:right="283"/>
        <w:jc w:val="both"/>
        <w:rPr>
          <w:rFonts w:ascii="IPT Nazanin" w:hAnsi="IPT Nazanin" w:cs="B Nazanin"/>
          <w:sz w:val="24"/>
          <w:szCs w:val="24"/>
          <w:rtl/>
        </w:rPr>
      </w:pPr>
    </w:p>
    <w:p w14:paraId="38A9FC69" w14:textId="77777777" w:rsidR="00187114" w:rsidRPr="00A92BDC" w:rsidRDefault="00187114" w:rsidP="00187114">
      <w:pPr>
        <w:jc w:val="lowKashida"/>
        <w:rPr>
          <w:rFonts w:ascii="IPT Nazanin" w:hAnsi="IPT Nazanin" w:cs="B Nazanin"/>
          <w:sz w:val="16"/>
          <w:szCs w:val="16"/>
          <w:rtl/>
        </w:rPr>
      </w:pPr>
    </w:p>
    <w:p w14:paraId="6C452308" w14:textId="77777777" w:rsidR="00187114" w:rsidRPr="00A92BDC" w:rsidRDefault="00187114" w:rsidP="00187114">
      <w:pPr>
        <w:jc w:val="center"/>
        <w:rPr>
          <w:rFonts w:ascii="IPT Nazanin" w:hAnsi="IPT Nazanin" w:cs="B Nazanin"/>
          <w:sz w:val="24"/>
          <w:szCs w:val="24"/>
          <w:rtl/>
        </w:rPr>
      </w:pPr>
      <w:r w:rsidRPr="00A92BDC">
        <w:rPr>
          <w:rFonts w:ascii="IPT Nazanin" w:hAnsi="IPT Nazanin" w:cs="B Nazanin"/>
          <w:sz w:val="24"/>
          <w:szCs w:val="24"/>
          <w:rtl/>
        </w:rPr>
        <w:t xml:space="preserve">نمودار(5-2): ارزش افزوده معادن در حال بهره برداری </w:t>
      </w:r>
    </w:p>
    <w:p w14:paraId="335DD069" w14:textId="2FA31F03" w:rsidR="00187114" w:rsidRPr="00A92BDC" w:rsidRDefault="00ED70E6" w:rsidP="00187114">
      <w:pPr>
        <w:jc w:val="center"/>
        <w:rPr>
          <w:rFonts w:ascii="IPT Nazanin" w:hAnsi="IPT Nazanin" w:cs="B Nazanin"/>
          <w:rtl/>
        </w:rPr>
      </w:pPr>
      <w:r>
        <w:rPr>
          <w:noProof/>
          <w:lang w:bidi="ar-SA"/>
        </w:rPr>
        <w:drawing>
          <wp:inline distT="0" distB="0" distL="0" distR="0" wp14:anchorId="1FE97183" wp14:editId="3B3FA863">
            <wp:extent cx="5870602" cy="3073400"/>
            <wp:effectExtent l="0" t="0" r="15875" b="1270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34D6707" w14:textId="6C1B3471" w:rsidR="00334E83" w:rsidRDefault="00187114" w:rsidP="00E82D4F">
      <w:pPr>
        <w:ind w:left="283"/>
        <w:jc w:val="both"/>
        <w:rPr>
          <w:rFonts w:ascii="IPT Nazanin" w:hAnsi="IPT Nazanin" w:cs="B Nazanin"/>
          <w:sz w:val="24"/>
          <w:szCs w:val="24"/>
          <w:rtl/>
        </w:rPr>
      </w:pPr>
      <w:r w:rsidRPr="00A92BDC">
        <w:rPr>
          <w:rFonts w:ascii="IPT Nazanin" w:hAnsi="IPT Nazanin" w:cs="B Nazanin"/>
          <w:sz w:val="24"/>
          <w:szCs w:val="24"/>
          <w:rtl/>
        </w:rPr>
        <w:t xml:space="preserve">ارزش افزوده محصولات معدنی </w:t>
      </w:r>
      <w:r w:rsidR="00334E83">
        <w:rPr>
          <w:rFonts w:ascii="IPT Nazanin" w:hAnsi="IPT Nazanin" w:cs="B Nazanin" w:hint="cs"/>
          <w:sz w:val="24"/>
          <w:szCs w:val="24"/>
          <w:rtl/>
        </w:rPr>
        <w:t xml:space="preserve">در </w:t>
      </w:r>
      <w:r w:rsidRPr="00A92BDC">
        <w:rPr>
          <w:rFonts w:ascii="IPT Nazanin" w:hAnsi="IPT Nazanin" w:cs="B Nazanin"/>
          <w:sz w:val="24"/>
          <w:szCs w:val="24"/>
          <w:rtl/>
        </w:rPr>
        <w:t>سال</w:t>
      </w:r>
      <w:r w:rsidR="00334E83">
        <w:rPr>
          <w:rFonts w:ascii="IPT Nazanin" w:hAnsi="IPT Nazanin" w:cs="B Nazanin" w:hint="cs"/>
          <w:sz w:val="24"/>
          <w:szCs w:val="24"/>
          <w:rtl/>
        </w:rPr>
        <w:t xml:space="preserve"> 95 روند افزایشی داشته است؛ اما در سال 96 کاهش پیدا کرده و مجددا در سال 97 رو به افزایش گذاتشه است.</w:t>
      </w:r>
    </w:p>
    <w:sectPr w:rsidR="00334E8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4B961" w14:textId="77777777" w:rsidR="009C73C3" w:rsidRDefault="009C73C3" w:rsidP="006A3021">
      <w:pPr>
        <w:spacing w:after="0" w:line="240" w:lineRule="auto"/>
      </w:pPr>
      <w:r>
        <w:separator/>
      </w:r>
    </w:p>
  </w:endnote>
  <w:endnote w:type="continuationSeparator" w:id="0">
    <w:p w14:paraId="2921B2E6" w14:textId="77777777" w:rsidR="009C73C3" w:rsidRDefault="009C73C3" w:rsidP="006A3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DB582" w14:textId="77777777" w:rsidR="009C73C3" w:rsidRDefault="009C73C3" w:rsidP="006A3021">
      <w:pPr>
        <w:spacing w:after="0" w:line="240" w:lineRule="auto"/>
      </w:pPr>
      <w:r>
        <w:separator/>
      </w:r>
    </w:p>
  </w:footnote>
  <w:footnote w:type="continuationSeparator" w:id="0">
    <w:p w14:paraId="08C6DE70" w14:textId="77777777" w:rsidR="009C73C3" w:rsidRDefault="009C73C3" w:rsidP="006A30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FA0"/>
    <w:rsid w:val="00060F62"/>
    <w:rsid w:val="000A7DF8"/>
    <w:rsid w:val="000C48B3"/>
    <w:rsid w:val="000F519E"/>
    <w:rsid w:val="00136832"/>
    <w:rsid w:val="00187114"/>
    <w:rsid w:val="00223850"/>
    <w:rsid w:val="00293919"/>
    <w:rsid w:val="002A4A65"/>
    <w:rsid w:val="0032616F"/>
    <w:rsid w:val="00334E83"/>
    <w:rsid w:val="003A10C6"/>
    <w:rsid w:val="004166A9"/>
    <w:rsid w:val="0048540A"/>
    <w:rsid w:val="004F4DB8"/>
    <w:rsid w:val="00502D03"/>
    <w:rsid w:val="0052527A"/>
    <w:rsid w:val="00572A3E"/>
    <w:rsid w:val="005E31A2"/>
    <w:rsid w:val="00610B67"/>
    <w:rsid w:val="006928DA"/>
    <w:rsid w:val="006A3021"/>
    <w:rsid w:val="00744DCB"/>
    <w:rsid w:val="00812720"/>
    <w:rsid w:val="009C73C3"/>
    <w:rsid w:val="00AB5BF0"/>
    <w:rsid w:val="00B24351"/>
    <w:rsid w:val="00BA0108"/>
    <w:rsid w:val="00C20FA0"/>
    <w:rsid w:val="00C77CF0"/>
    <w:rsid w:val="00D435F7"/>
    <w:rsid w:val="00D6621B"/>
    <w:rsid w:val="00E82D4F"/>
    <w:rsid w:val="00E932A9"/>
    <w:rsid w:val="00ED41EC"/>
    <w:rsid w:val="00ED70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3316"/>
  <w15:chartTrackingRefBased/>
  <w15:docId w15:val="{0192EBCD-9EBD-48D9-8FDF-C4814F1AD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14"/>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30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3021"/>
    <w:rPr>
      <w:lang w:bidi="fa-IR"/>
    </w:rPr>
  </w:style>
  <w:style w:type="paragraph" w:styleId="Footer">
    <w:name w:val="footer"/>
    <w:basedOn w:val="Normal"/>
    <w:link w:val="FooterChar"/>
    <w:uiPriority w:val="99"/>
    <w:unhideWhenUsed/>
    <w:rsid w:val="006A30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3021"/>
    <w:rPr>
      <w:lang w:bidi="fa-IR"/>
    </w:rPr>
  </w:style>
  <w:style w:type="character" w:styleId="CommentReference">
    <w:name w:val="annotation reference"/>
    <w:basedOn w:val="DefaultParagraphFont"/>
    <w:uiPriority w:val="99"/>
    <w:semiHidden/>
    <w:unhideWhenUsed/>
    <w:rsid w:val="00D6621B"/>
    <w:rPr>
      <w:sz w:val="16"/>
      <w:szCs w:val="16"/>
    </w:rPr>
  </w:style>
  <w:style w:type="paragraph" w:styleId="CommentText">
    <w:name w:val="annotation text"/>
    <w:basedOn w:val="Normal"/>
    <w:link w:val="CommentTextChar"/>
    <w:uiPriority w:val="99"/>
    <w:semiHidden/>
    <w:unhideWhenUsed/>
    <w:rsid w:val="00D6621B"/>
    <w:pPr>
      <w:spacing w:line="240" w:lineRule="auto"/>
    </w:pPr>
    <w:rPr>
      <w:sz w:val="20"/>
      <w:szCs w:val="20"/>
    </w:rPr>
  </w:style>
  <w:style w:type="character" w:customStyle="1" w:styleId="CommentTextChar">
    <w:name w:val="Comment Text Char"/>
    <w:basedOn w:val="DefaultParagraphFont"/>
    <w:link w:val="CommentText"/>
    <w:uiPriority w:val="99"/>
    <w:semiHidden/>
    <w:rsid w:val="00D6621B"/>
    <w:rPr>
      <w:sz w:val="20"/>
      <w:szCs w:val="20"/>
      <w:lang w:bidi="fa-IR"/>
    </w:rPr>
  </w:style>
  <w:style w:type="paragraph" w:styleId="CommentSubject">
    <w:name w:val="annotation subject"/>
    <w:basedOn w:val="CommentText"/>
    <w:next w:val="CommentText"/>
    <w:link w:val="CommentSubjectChar"/>
    <w:uiPriority w:val="99"/>
    <w:semiHidden/>
    <w:unhideWhenUsed/>
    <w:rsid w:val="00D6621B"/>
    <w:rPr>
      <w:b/>
      <w:bCs/>
    </w:rPr>
  </w:style>
  <w:style w:type="character" w:customStyle="1" w:styleId="CommentSubjectChar">
    <w:name w:val="Comment Subject Char"/>
    <w:basedOn w:val="CommentTextChar"/>
    <w:link w:val="CommentSubject"/>
    <w:uiPriority w:val="99"/>
    <w:semiHidden/>
    <w:rsid w:val="00D6621B"/>
    <w:rPr>
      <w:b/>
      <w:bCs/>
      <w:sz w:val="20"/>
      <w:szCs w:val="20"/>
      <w:lang w:bidi="fa-IR"/>
    </w:rPr>
  </w:style>
  <w:style w:type="paragraph" w:styleId="BalloonText">
    <w:name w:val="Balloon Text"/>
    <w:basedOn w:val="Normal"/>
    <w:link w:val="BalloonTextChar"/>
    <w:uiPriority w:val="99"/>
    <w:semiHidden/>
    <w:unhideWhenUsed/>
    <w:rsid w:val="00D662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21B"/>
    <w:rPr>
      <w:rFonts w:ascii="Segoe UI" w:hAnsi="Segoe UI" w:cs="Segoe UI"/>
      <w:sz w:val="18"/>
      <w:szCs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5540">
      <w:bodyDiv w:val="1"/>
      <w:marLeft w:val="0"/>
      <w:marRight w:val="0"/>
      <w:marTop w:val="0"/>
      <w:marBottom w:val="0"/>
      <w:divBdr>
        <w:top w:val="none" w:sz="0" w:space="0" w:color="auto"/>
        <w:left w:val="none" w:sz="0" w:space="0" w:color="auto"/>
        <w:bottom w:val="none" w:sz="0" w:space="0" w:color="auto"/>
        <w:right w:val="none" w:sz="0" w:space="0" w:color="auto"/>
      </w:divBdr>
    </w:div>
    <w:div w:id="411319408">
      <w:bodyDiv w:val="1"/>
      <w:marLeft w:val="0"/>
      <w:marRight w:val="0"/>
      <w:marTop w:val="0"/>
      <w:marBottom w:val="0"/>
      <w:divBdr>
        <w:top w:val="none" w:sz="0" w:space="0" w:color="auto"/>
        <w:left w:val="none" w:sz="0" w:space="0" w:color="auto"/>
        <w:bottom w:val="none" w:sz="0" w:space="0" w:color="auto"/>
        <w:right w:val="none" w:sz="0" w:space="0" w:color="auto"/>
      </w:divBdr>
    </w:div>
    <w:div w:id="814644795">
      <w:bodyDiv w:val="1"/>
      <w:marLeft w:val="0"/>
      <w:marRight w:val="0"/>
      <w:marTop w:val="0"/>
      <w:marBottom w:val="0"/>
      <w:divBdr>
        <w:top w:val="none" w:sz="0" w:space="0" w:color="auto"/>
        <w:left w:val="none" w:sz="0" w:space="0" w:color="auto"/>
        <w:bottom w:val="none" w:sz="0" w:space="0" w:color="auto"/>
        <w:right w:val="none" w:sz="0" w:space="0" w:color="auto"/>
      </w:divBdr>
    </w:div>
    <w:div w:id="958342850">
      <w:bodyDiv w:val="1"/>
      <w:marLeft w:val="0"/>
      <w:marRight w:val="0"/>
      <w:marTop w:val="0"/>
      <w:marBottom w:val="0"/>
      <w:divBdr>
        <w:top w:val="none" w:sz="0" w:space="0" w:color="auto"/>
        <w:left w:val="none" w:sz="0" w:space="0" w:color="auto"/>
        <w:bottom w:val="none" w:sz="0" w:space="0" w:color="auto"/>
        <w:right w:val="none" w:sz="0" w:space="0" w:color="auto"/>
      </w:divBdr>
    </w:div>
    <w:div w:id="1773011554">
      <w:bodyDiv w:val="1"/>
      <w:marLeft w:val="0"/>
      <w:marRight w:val="0"/>
      <w:marTop w:val="0"/>
      <w:marBottom w:val="0"/>
      <w:divBdr>
        <w:top w:val="none" w:sz="0" w:space="0" w:color="auto"/>
        <w:left w:val="none" w:sz="0" w:space="0" w:color="auto"/>
        <w:bottom w:val="none" w:sz="0" w:space="0" w:color="auto"/>
        <w:right w:val="none" w:sz="0" w:space="0" w:color="auto"/>
      </w:divBdr>
    </w:div>
    <w:div w:id="178823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8.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hart" Target="charts/chart11.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endnotes" Target="endnotes.xml"/><Relationship Id="rId15" Type="http://schemas.openxmlformats.org/officeDocument/2006/relationships/chart" Target="charts/chart10.xml"/><Relationship Id="rId10" Type="http://schemas.openxmlformats.org/officeDocument/2006/relationships/chart" Target="charts/chart5.xml"/><Relationship Id="rId4" Type="http://schemas.openxmlformats.org/officeDocument/2006/relationships/footnotes" Target="footnotes.xml"/><Relationship Id="rId9" Type="http://schemas.openxmlformats.org/officeDocument/2006/relationships/chart" Target="charts/chart4.xml"/><Relationship Id="rId14" Type="http://schemas.openxmlformats.org/officeDocument/2006/relationships/chart" Target="charts/chart9.xml"/></Relationships>
</file>

<file path=word/charts/_rels/chart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605;&#1593;&#1583;&#1606;%20&#1606;&#1607;&#1575;&#1740;&#1740;%20&#1606;&#1591;&#1606;&#158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5759408997642113E-2"/>
          <c:y val="7.9293101485546691E-2"/>
          <c:w val="0.90683650530230808"/>
          <c:h val="0.78123778639864683"/>
        </c:manualLayout>
      </c:layout>
      <c:barChart>
        <c:barDir val="col"/>
        <c:grouping val="clustered"/>
        <c:varyColors val="0"/>
        <c:ser>
          <c:idx val="0"/>
          <c:order val="0"/>
          <c:tx>
            <c:strRef>
              <c:f>نمودارها!$B$17</c:f>
              <c:strCache>
                <c:ptCount val="1"/>
                <c:pt idx="0">
                  <c:v> معادن دارای پروانه بهره برداری(فعال)</c:v>
                </c:pt>
              </c:strCache>
            </c:strRef>
          </c:tx>
          <c:spPr>
            <a:pattFill prst="wdUpDiag">
              <a:fgClr>
                <a:schemeClr val="bg1"/>
              </a:fgClr>
              <a:bgClr>
                <a:schemeClr val="accent1">
                  <a:lumMod val="75000"/>
                </a:schemeClr>
              </a:bgClr>
            </a:pattFill>
            <a:ln>
              <a:noFill/>
            </a:ln>
            <a:effectLst>
              <a:softEdge rad="50800"/>
            </a:effectLst>
            <a:scene3d>
              <a:camera prst="orthographicFront"/>
              <a:lightRig rig="threePt" dir="t"/>
            </a:scene3d>
            <a:sp3d>
              <a:bevelT w="50800"/>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نمودارها!$D$16:$H$16</c:f>
              <c:strCache>
                <c:ptCount val="5"/>
                <c:pt idx="0">
                  <c:v>سال 94</c:v>
                </c:pt>
                <c:pt idx="1">
                  <c:v>سال95</c:v>
                </c:pt>
                <c:pt idx="2">
                  <c:v>سال96</c:v>
                </c:pt>
                <c:pt idx="3">
                  <c:v>سال97</c:v>
                </c:pt>
                <c:pt idx="4">
                  <c:v>سال98</c:v>
                </c:pt>
              </c:strCache>
            </c:strRef>
          </c:cat>
          <c:val>
            <c:numRef>
              <c:f>نمودارها!$D$17:$H$17</c:f>
              <c:numCache>
                <c:formatCode>General</c:formatCode>
                <c:ptCount val="5"/>
                <c:pt idx="0">
                  <c:v>40</c:v>
                </c:pt>
                <c:pt idx="1">
                  <c:v>35</c:v>
                </c:pt>
                <c:pt idx="2">
                  <c:v>31</c:v>
                </c:pt>
                <c:pt idx="3">
                  <c:v>0</c:v>
                </c:pt>
                <c:pt idx="4">
                  <c:v>0</c:v>
                </c:pt>
              </c:numCache>
            </c:numRef>
          </c:val>
          <c:extLst>
            <c:ext xmlns:c16="http://schemas.microsoft.com/office/drawing/2014/chart" uri="{C3380CC4-5D6E-409C-BE32-E72D297353CC}">
              <c16:uniqueId val="{00000000-7ABF-4AE6-8370-C9A6BCF76E51}"/>
            </c:ext>
          </c:extLst>
        </c:ser>
        <c:dLbls>
          <c:dLblPos val="outEnd"/>
          <c:showLegendKey val="0"/>
          <c:showVal val="1"/>
          <c:showCatName val="0"/>
          <c:showSerName val="0"/>
          <c:showPercent val="0"/>
          <c:showBubbleSize val="0"/>
        </c:dLbls>
        <c:gapWidth val="246"/>
        <c:overlap val="-27"/>
        <c:axId val="992316112"/>
        <c:axId val="992317744"/>
      </c:barChart>
      <c:catAx>
        <c:axId val="992316112"/>
        <c:scaling>
          <c:orientation val="minMax"/>
        </c:scaling>
        <c:delete val="0"/>
        <c:axPos val="b"/>
        <c:numFmt formatCode="General" sourceLinked="1"/>
        <c:majorTickMark val="none"/>
        <c:minorTickMark val="none"/>
        <c:tickLblPos val="nextTo"/>
        <c:spPr>
          <a:noFill/>
          <a:ln w="38100" cap="flat" cmpd="sng" algn="ctr">
            <a:solidFill>
              <a:schemeClr val="accent1">
                <a:lumMod val="50000"/>
              </a:schemeClr>
            </a:solidFill>
            <a:prstDash val="solid"/>
            <a:miter lim="800000"/>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992317744"/>
        <c:crosses val="autoZero"/>
        <c:auto val="1"/>
        <c:lblAlgn val="ctr"/>
        <c:lblOffset val="100"/>
        <c:noMultiLvlLbl val="0"/>
      </c:catAx>
      <c:valAx>
        <c:axId val="992317744"/>
        <c:scaling>
          <c:orientation val="minMax"/>
          <c:max val="50"/>
        </c:scaling>
        <c:delete val="0"/>
        <c:axPos val="l"/>
        <c:majorGridlines>
          <c:spPr>
            <a:ln w="9525" cap="flat" cmpd="sng" algn="ctr">
              <a:solidFill>
                <a:srgbClr val="EAE8FE"/>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992316112"/>
        <c:crosses val="autoZero"/>
        <c:crossBetween val="between"/>
      </c:valAx>
      <c:spPr>
        <a:solidFill>
          <a:schemeClr val="bg1"/>
        </a:solidFill>
        <a:ln>
          <a:noFill/>
        </a:ln>
        <a:effectLst/>
      </c:spPr>
    </c:plotArea>
    <c:plotVisOnly val="1"/>
    <c:dispBlanksAs val="gap"/>
    <c:showDLblsOverMax val="0"/>
  </c:chart>
  <c:spPr>
    <a:solidFill>
      <a:schemeClr val="accent1">
        <a:lumMod val="20000"/>
        <a:lumOff val="80000"/>
      </a:schemeClr>
    </a:solidFill>
    <a:ln w="9525" cap="flat" cmpd="sng" algn="ctr">
      <a:solidFill>
        <a:schemeClr val="tx1">
          <a:lumMod val="15000"/>
          <a:lumOff val="85000"/>
        </a:schemeClr>
      </a:solidFill>
      <a:round/>
    </a:ln>
    <a:effectLst>
      <a:glow rad="63500">
        <a:schemeClr val="accent5">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4683640092901"/>
          <c:y val="0.11316932878401392"/>
          <c:w val="0.84538754210476552"/>
          <c:h val="0.74109875303376416"/>
        </c:manualLayout>
      </c:layout>
      <c:barChart>
        <c:barDir val="col"/>
        <c:grouping val="clustered"/>
        <c:varyColors val="0"/>
        <c:ser>
          <c:idx val="0"/>
          <c:order val="0"/>
          <c:tx>
            <c:strRef>
              <c:f>نمودارها!$B$12</c:f>
              <c:strCache>
                <c:ptCount val="1"/>
                <c:pt idx="0">
                  <c:v>ارزش تولیدات معادن در حال بهره برداری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6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نمودارها!$D$1:$H$1</c:f>
              <c:strCache>
                <c:ptCount val="5"/>
                <c:pt idx="0">
                  <c:v>سال94</c:v>
                </c:pt>
                <c:pt idx="1">
                  <c:v>سال95</c:v>
                </c:pt>
                <c:pt idx="2">
                  <c:v>سال96</c:v>
                </c:pt>
                <c:pt idx="3">
                  <c:v>سال97</c:v>
                </c:pt>
                <c:pt idx="4">
                  <c:v>سال98</c:v>
                </c:pt>
              </c:strCache>
            </c:strRef>
          </c:cat>
          <c:val>
            <c:numRef>
              <c:f>نمودارها!$D$12:$H$12</c:f>
              <c:numCache>
                <c:formatCode>#,##0</c:formatCode>
                <c:ptCount val="5"/>
                <c:pt idx="0">
                  <c:v>641951</c:v>
                </c:pt>
                <c:pt idx="1">
                  <c:v>693731</c:v>
                </c:pt>
                <c:pt idx="2">
                  <c:v>689864</c:v>
                </c:pt>
                <c:pt idx="3">
                  <c:v>814671</c:v>
                </c:pt>
                <c:pt idx="4">
                  <c:v>0</c:v>
                </c:pt>
              </c:numCache>
            </c:numRef>
          </c:val>
          <c:extLst>
            <c:ext xmlns:c16="http://schemas.microsoft.com/office/drawing/2014/chart" uri="{C3380CC4-5D6E-409C-BE32-E72D297353CC}">
              <c16:uniqueId val="{00000001-477B-402C-BFF6-334C9856AA0B}"/>
            </c:ext>
          </c:extLst>
        </c:ser>
        <c:dLbls>
          <c:dLblPos val="outEnd"/>
          <c:showLegendKey val="0"/>
          <c:showVal val="1"/>
          <c:showCatName val="0"/>
          <c:showSerName val="0"/>
          <c:showPercent val="0"/>
          <c:showBubbleSize val="0"/>
        </c:dLbls>
        <c:gapWidth val="219"/>
        <c:overlap val="-27"/>
        <c:axId val="1052370672"/>
        <c:axId val="1052363056"/>
      </c:barChart>
      <c:catAx>
        <c:axId val="1052370672"/>
        <c:scaling>
          <c:orientation val="minMax"/>
        </c:scaling>
        <c:delete val="0"/>
        <c:axPos val="b"/>
        <c:numFmt formatCode="General" sourceLinked="1"/>
        <c:majorTickMark val="none"/>
        <c:minorTickMark val="none"/>
        <c:tickLblPos val="nextTo"/>
        <c:spPr>
          <a:noFill/>
          <a:ln w="38100" cap="flat" cmpd="sng" algn="ctr">
            <a:solidFill>
              <a:schemeClr val="accent1">
                <a:lumMod val="50000"/>
              </a:schemeClr>
            </a:solidFill>
            <a:round/>
          </a:ln>
          <a:effectLst/>
        </c:spPr>
        <c:txPr>
          <a:bodyPr rot="-60000000" spcFirstLastPara="1" vertOverflow="ellipsis" vert="horz" wrap="square" anchor="ctr" anchorCtr="1"/>
          <a:lstStyle/>
          <a:p>
            <a:pPr>
              <a:defRPr sz="96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052363056"/>
        <c:crosses val="autoZero"/>
        <c:auto val="1"/>
        <c:lblAlgn val="ctr"/>
        <c:lblOffset val="100"/>
        <c:noMultiLvlLbl val="0"/>
      </c:catAx>
      <c:valAx>
        <c:axId val="1052363056"/>
        <c:scaling>
          <c:orientation val="minMax"/>
        </c:scaling>
        <c:delete val="0"/>
        <c:axPos val="l"/>
        <c:majorGridlines>
          <c:spPr>
            <a:ln w="9525" cap="flat" cmpd="sng" algn="ctr">
              <a:solidFill>
                <a:schemeClr val="accent1"/>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6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052370672"/>
        <c:crosses val="autoZero"/>
        <c:crossBetween val="between"/>
      </c:valAx>
      <c:spPr>
        <a:solidFill>
          <a:schemeClr val="bg1"/>
        </a:solidFill>
        <a:ln>
          <a:noFill/>
        </a:ln>
        <a:effectLst/>
      </c:spPr>
    </c:plotArea>
    <c:plotVisOnly val="1"/>
    <c:dispBlanksAs val="gap"/>
    <c:showDLblsOverMax val="0"/>
  </c:chart>
  <c:spPr>
    <a:solidFill>
      <a:schemeClr val="accent1">
        <a:lumMod val="20000"/>
        <a:lumOff val="80000"/>
      </a:schemeClr>
    </a:solidFill>
    <a:ln w="9525" cap="flat" cmpd="sng" algn="ctr">
      <a:solidFill>
        <a:schemeClr val="tx1">
          <a:lumMod val="15000"/>
          <a:lumOff val="85000"/>
        </a:schemeClr>
      </a:solidFill>
      <a:round/>
    </a:ln>
    <a:effectLst>
      <a:glow rad="63500">
        <a:schemeClr val="accent5">
          <a:satMod val="175000"/>
          <a:alpha val="40000"/>
        </a:schemeClr>
      </a:glow>
    </a:effectLst>
  </c:spPr>
  <c:txPr>
    <a:bodyPr/>
    <a:lstStyle/>
    <a:p>
      <a:pPr>
        <a:defRPr sz="96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28053366022416"/>
          <c:y val="9.5076570713213709E-2"/>
          <c:w val="0.7811394520169479"/>
          <c:h val="0.80891136575407752"/>
        </c:manualLayout>
      </c:layout>
      <c:areaChart>
        <c:grouping val="standard"/>
        <c:varyColors val="0"/>
        <c:ser>
          <c:idx val="0"/>
          <c:order val="0"/>
          <c:tx>
            <c:strRef>
              <c:f>نمودارها!$B$28:$C$28</c:f>
              <c:strCache>
                <c:ptCount val="2"/>
                <c:pt idx="0">
                  <c:v>ارزش افزوده معادن در حال بهره برداری</c:v>
                </c:pt>
                <c:pt idx="1">
                  <c:v>میلیون ریال</c:v>
                </c:pt>
              </c:strCache>
            </c:strRef>
          </c:tx>
          <c:spPr>
            <a:pattFill prst="ltUpDiag">
              <a:fgClr>
                <a:schemeClr val="accent1"/>
              </a:fgClr>
              <a:bgClr>
                <a:schemeClr val="accent1">
                  <a:lumMod val="20000"/>
                  <a:lumOff val="80000"/>
                </a:schemeClr>
              </a:bgClr>
            </a:pattFill>
            <a:ln>
              <a:noFill/>
            </a:ln>
            <a:effectLst>
              <a:innerShdw blurRad="114300">
                <a:schemeClr val="accent1"/>
              </a:innerShdw>
            </a:effectLst>
          </c:spPr>
          <c:dLbls>
            <c:dLbl>
              <c:idx val="0"/>
              <c:layout>
                <c:manualLayout>
                  <c:x val="1.2077990943044998E-2"/>
                  <c:y val="-0.22698330818727749"/>
                </c:manualLayout>
              </c:layout>
              <c:spPr>
                <a:solidFill>
                  <a:schemeClr val="lt1"/>
                </a:solidFill>
                <a:ln>
                  <a:solidFill>
                    <a:schemeClr val="dk1">
                      <a:lumMod val="25000"/>
                      <a:lumOff val="75000"/>
                    </a:schemeClr>
                  </a:solidFill>
                </a:ln>
                <a:effectLst/>
              </c:spPr>
              <c:txPr>
                <a:bodyPr rot="0" spcFirstLastPara="1" vertOverflow="clip" horzOverflow="clip" vert="horz" wrap="square" lIns="36576" tIns="18288" rIns="36576" bIns="18288" anchor="ctr" anchorCtr="1">
                  <a:spAutoFit/>
                </a:bodyPr>
                <a:lstStyle/>
                <a:p>
                  <a:pPr>
                    <a:defRPr sz="10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31665"/>
                        <a:gd name="adj2" fmla="val 26868"/>
                      </a:avLst>
                    </a:prstGeom>
                    <a:noFill/>
                    <a:ln>
                      <a:noFill/>
                    </a:ln>
                  </c15:spPr>
                </c:ext>
                <c:ext xmlns:c16="http://schemas.microsoft.com/office/drawing/2014/chart" uri="{C3380CC4-5D6E-409C-BE32-E72D297353CC}">
                  <c16:uniqueId val="{00000000-5271-481F-9E0E-65B9164E73AF}"/>
                </c:ext>
              </c:extLst>
            </c:dLbl>
            <c:dLbl>
              <c:idx val="1"/>
              <c:layout>
                <c:manualLayout>
                  <c:x val="-7.6030243547368778E-3"/>
                  <c:y val="-0.35885727575781068"/>
                </c:manualLayout>
              </c:layout>
              <c:spPr>
                <a:solidFill>
                  <a:sysClr val="window" lastClr="FFFFFF"/>
                </a:solidFill>
                <a:ln w="9525" cap="flat" cmpd="sng" algn="ctr">
                  <a:solidFill>
                    <a:sysClr val="windowText" lastClr="000000">
                      <a:lumMod val="25000"/>
                      <a:lumOff val="75000"/>
                    </a:sys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10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8605"/>
                        <a:gd name="adj2" fmla="val 31447"/>
                      </a:avLst>
                    </a:prstGeom>
                    <a:noFill/>
                    <a:ln>
                      <a:noFill/>
                    </a:ln>
                  </c15:spPr>
                </c:ext>
                <c:ext xmlns:c16="http://schemas.microsoft.com/office/drawing/2014/chart" uri="{C3380CC4-5D6E-409C-BE32-E72D297353CC}">
                  <c16:uniqueId val="{00000001-5271-481F-9E0E-65B9164E73AF}"/>
                </c:ext>
              </c:extLst>
            </c:dLbl>
            <c:dLbl>
              <c:idx val="2"/>
              <c:layout>
                <c:manualLayout>
                  <c:x val="4.7358089805854204E-3"/>
                  <c:y val="-0.3635344421451871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271-481F-9E0E-65B9164E73AF}"/>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6576" tIns="18288" rIns="36576" bIns="18288" anchor="ctr" anchorCtr="1">
                <a:spAutoFit/>
              </a:bodyPr>
              <a:lstStyle/>
              <a:p>
                <a:pPr>
                  <a:defRPr sz="10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نمودارها!$D$16:$H$16</c:f>
              <c:strCache>
                <c:ptCount val="5"/>
                <c:pt idx="0">
                  <c:v>سال 94</c:v>
                </c:pt>
                <c:pt idx="1">
                  <c:v>سال95</c:v>
                </c:pt>
                <c:pt idx="2">
                  <c:v>سال96</c:v>
                </c:pt>
                <c:pt idx="3">
                  <c:v>سال97</c:v>
                </c:pt>
                <c:pt idx="4">
                  <c:v>سال98</c:v>
                </c:pt>
              </c:strCache>
            </c:strRef>
          </c:cat>
          <c:val>
            <c:numRef>
              <c:f>نمودارها!$D$28:$H$28</c:f>
              <c:numCache>
                <c:formatCode>#,##0</c:formatCode>
                <c:ptCount val="5"/>
                <c:pt idx="0">
                  <c:v>422918</c:v>
                </c:pt>
                <c:pt idx="1">
                  <c:v>518469</c:v>
                </c:pt>
                <c:pt idx="2">
                  <c:v>505422</c:v>
                </c:pt>
                <c:pt idx="3">
                  <c:v>602089</c:v>
                </c:pt>
                <c:pt idx="4" formatCode="General">
                  <c:v>0</c:v>
                </c:pt>
              </c:numCache>
            </c:numRef>
          </c:val>
          <c:extLst>
            <c:ext xmlns:c16="http://schemas.microsoft.com/office/drawing/2014/chart" uri="{C3380CC4-5D6E-409C-BE32-E72D297353CC}">
              <c16:uniqueId val="{00000003-5271-481F-9E0E-65B9164E73AF}"/>
            </c:ext>
          </c:extLst>
        </c:ser>
        <c:dLbls>
          <c:showLegendKey val="0"/>
          <c:showVal val="1"/>
          <c:showCatName val="0"/>
          <c:showSerName val="0"/>
          <c:showPercent val="0"/>
          <c:showBubbleSize val="0"/>
        </c:dLbls>
        <c:axId val="1052365776"/>
        <c:axId val="1052366320"/>
      </c:areaChart>
      <c:catAx>
        <c:axId val="1052365776"/>
        <c:scaling>
          <c:orientation val="minMax"/>
        </c:scaling>
        <c:delete val="0"/>
        <c:axPos val="b"/>
        <c:numFmt formatCode="General" sourceLinked="1"/>
        <c:majorTickMark val="out"/>
        <c:minorTickMark val="out"/>
        <c:tickLblPos val="nextTo"/>
        <c:spPr>
          <a:noFill/>
          <a:ln w="38100">
            <a:solidFill>
              <a:schemeClr val="accent1">
                <a:lumMod val="75000"/>
              </a:schemeClr>
            </a:solidFill>
          </a:ln>
          <a:effectLst/>
        </c:spPr>
        <c:txPr>
          <a:bodyPr rot="-60000000" spcFirstLastPara="1" vertOverflow="ellipsis" vert="horz" wrap="square" anchor="ctr" anchorCtr="1"/>
          <a:lstStyle/>
          <a:p>
            <a:pPr>
              <a:defRPr sz="1000" b="0" i="0" u="none" strike="noStrike" kern="1200" cap="all" spc="120" normalizeH="0" baseline="0">
                <a:solidFill>
                  <a:schemeClr val="bg1"/>
                </a:solidFill>
                <a:latin typeface="IPT Nazanin" panose="00000400000000000000" pitchFamily="2" charset="2"/>
                <a:ea typeface="+mn-ea"/>
                <a:cs typeface="B Nazanin" panose="00000400000000000000" pitchFamily="2" charset="-78"/>
              </a:defRPr>
            </a:pPr>
            <a:endParaRPr lang="fa-IR"/>
          </a:p>
        </c:txPr>
        <c:crossAx val="1052366320"/>
        <c:crosses val="autoZero"/>
        <c:auto val="1"/>
        <c:lblAlgn val="ctr"/>
        <c:lblOffset val="100"/>
        <c:noMultiLvlLbl val="0"/>
      </c:catAx>
      <c:valAx>
        <c:axId val="1052366320"/>
        <c:scaling>
          <c:orientation val="minMax"/>
        </c:scaling>
        <c:delete val="0"/>
        <c:axPos val="l"/>
        <c:majorGridlines>
          <c:spPr>
            <a:ln w="12700" cap="flat" cmpd="sng" algn="ctr">
              <a:solidFill>
                <a:schemeClr val="accent1">
                  <a:lumMod val="40000"/>
                  <a:lumOff val="60000"/>
                </a:schemeClr>
              </a:solidFill>
              <a:prstDash val="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crossAx val="1052365776"/>
        <c:crosses val="autoZero"/>
        <c:crossBetween val="midCat"/>
      </c:valAx>
      <c:spPr>
        <a:solidFill>
          <a:schemeClr val="bg1"/>
        </a:solidFill>
        <a:ln>
          <a:noFill/>
        </a:ln>
        <a:effectLst/>
      </c:spPr>
    </c:plotArea>
    <c:plotVisOnly val="1"/>
    <c:dispBlanksAs val="gap"/>
    <c:showDLblsOverMax val="0"/>
  </c:chart>
  <c:spPr>
    <a:solidFill>
      <a:schemeClr val="accent1">
        <a:lumMod val="50000"/>
      </a:schemeClr>
    </a:solidFill>
    <a:ln w="9525" cap="flat" cmpd="sng" algn="ctr">
      <a:solidFill>
        <a:schemeClr val="tx1">
          <a:lumMod val="15000"/>
          <a:lumOff val="85000"/>
        </a:schemeClr>
      </a:solidFill>
      <a:round/>
    </a:ln>
    <a:effectLst/>
  </c:spPr>
  <c:txPr>
    <a:bodyPr/>
    <a:lstStyle/>
    <a:p>
      <a:pPr>
        <a:defRPr sz="100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نمودارها!$B$3</c:f>
              <c:strCache>
                <c:ptCount val="1"/>
                <c:pt idx="0">
                  <c:v>شرکتهای تعاونی معدنی فعال</c:v>
                </c:pt>
              </c:strCache>
            </c:strRef>
          </c:tx>
          <c:spPr>
            <a:pattFill prst="wdUpDiag">
              <a:fgClr>
                <a:srgbClr val="5F9BD7"/>
              </a:fgClr>
              <a:bgClr>
                <a:schemeClr val="bg1"/>
              </a:bgClr>
            </a:pattFill>
            <a:ln w="31750">
              <a:solidFill>
                <a:srgbClr val="00206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نمودارها!$D$1:$H$1</c:f>
              <c:strCache>
                <c:ptCount val="5"/>
                <c:pt idx="0">
                  <c:v>سال94</c:v>
                </c:pt>
                <c:pt idx="1">
                  <c:v>سال95</c:v>
                </c:pt>
                <c:pt idx="2">
                  <c:v>سال96</c:v>
                </c:pt>
                <c:pt idx="3">
                  <c:v>سال97</c:v>
                </c:pt>
                <c:pt idx="4">
                  <c:v>سال98</c:v>
                </c:pt>
              </c:strCache>
            </c:strRef>
          </c:cat>
          <c:val>
            <c:numRef>
              <c:f>نمودارها!$D$3:$H$3</c:f>
              <c:numCache>
                <c:formatCode>General</c:formatCode>
                <c:ptCount val="5"/>
                <c:pt idx="0">
                  <c:v>4</c:v>
                </c:pt>
                <c:pt idx="1">
                  <c:v>4</c:v>
                </c:pt>
                <c:pt idx="2">
                  <c:v>6</c:v>
                </c:pt>
                <c:pt idx="3">
                  <c:v>6</c:v>
                </c:pt>
                <c:pt idx="4">
                  <c:v>6</c:v>
                </c:pt>
              </c:numCache>
            </c:numRef>
          </c:val>
          <c:extLst>
            <c:ext xmlns:c16="http://schemas.microsoft.com/office/drawing/2014/chart" uri="{C3380CC4-5D6E-409C-BE32-E72D297353CC}">
              <c16:uniqueId val="{00000000-0AE4-4DEC-A07C-4647094CF938}"/>
            </c:ext>
          </c:extLst>
        </c:ser>
        <c:dLbls>
          <c:dLblPos val="outEnd"/>
          <c:showLegendKey val="0"/>
          <c:showVal val="1"/>
          <c:showCatName val="0"/>
          <c:showSerName val="0"/>
          <c:showPercent val="0"/>
          <c:showBubbleSize val="0"/>
        </c:dLbls>
        <c:gapWidth val="219"/>
        <c:overlap val="-27"/>
        <c:axId val="517873184"/>
        <c:axId val="517877448"/>
      </c:barChart>
      <c:catAx>
        <c:axId val="517873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fa-IR"/>
          </a:p>
        </c:txPr>
        <c:crossAx val="517877448"/>
        <c:crosses val="autoZero"/>
        <c:auto val="1"/>
        <c:lblAlgn val="ctr"/>
        <c:lblOffset val="100"/>
        <c:noMultiLvlLbl val="0"/>
      </c:catAx>
      <c:valAx>
        <c:axId val="5178774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517873184"/>
        <c:crosses val="autoZero"/>
        <c:crossBetween val="between"/>
      </c:valAx>
      <c:spPr>
        <a:noFill/>
        <a:ln>
          <a:noFill/>
        </a:ln>
        <a:effectLst/>
      </c:spPr>
    </c:plotArea>
    <c:plotVisOnly val="1"/>
    <c:dispBlanksAs val="gap"/>
    <c:showDLblsOverMax val="0"/>
  </c:chart>
  <c:spPr>
    <a:solidFill>
      <a:schemeClr val="bg1"/>
    </a:solidFill>
    <a:ln w="9525" cap="flat" cmpd="sng" algn="ctr">
      <a:solidFill>
        <a:srgbClr val="002060"/>
      </a:solidFill>
      <a:round/>
    </a:ln>
    <a:effectLst>
      <a:glow rad="101600">
        <a:schemeClr val="accent1">
          <a:satMod val="175000"/>
          <a:alpha val="40000"/>
        </a:schemeClr>
      </a:glow>
    </a:effectLst>
  </c:spPr>
  <c:txPr>
    <a:bodyPr/>
    <a:lstStyle/>
    <a:p>
      <a:pPr>
        <a:defRPr/>
      </a:pPr>
      <a:endParaRPr lang="fa-I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5292864462483339E-2"/>
          <c:y val="7.6846874000359278E-2"/>
          <c:w val="0.88964215407968206"/>
          <c:h val="0.78319649664745816"/>
        </c:manualLayout>
      </c:layout>
      <c:barChart>
        <c:barDir val="col"/>
        <c:grouping val="clustered"/>
        <c:varyColors val="0"/>
        <c:ser>
          <c:idx val="0"/>
          <c:order val="0"/>
          <c:tx>
            <c:strRef>
              <c:f>نمودارها!$B$19</c:f>
              <c:strCache>
                <c:ptCount val="1"/>
                <c:pt idx="0">
                  <c:v>تعداد اعضای شرکتهای تعاونی فعال</c:v>
                </c:pt>
              </c:strCache>
            </c:strRef>
          </c:tx>
          <c:spPr>
            <a:pattFill prst="pct70">
              <a:fgClr>
                <a:schemeClr val="accent1">
                  <a:lumMod val="75000"/>
                </a:schemeClr>
              </a:fgClr>
              <a:bgClr>
                <a:schemeClr val="bg1"/>
              </a:bgClr>
            </a:pattFill>
            <a:ln w="38100" cmpd="sng">
              <a:solidFill>
                <a:schemeClr val="accent5">
                  <a:lumMod val="40000"/>
                  <a:lumOff val="60000"/>
                </a:schemeClr>
              </a:solidFill>
            </a:ln>
            <a:effectLst/>
            <a:scene3d>
              <a:camera prst="orthographicFront"/>
              <a:lightRig rig="threePt" dir="t"/>
            </a:scene3d>
            <a:sp3d/>
          </c:spPr>
          <c:invertIfNegative val="0"/>
          <c:dLbls>
            <c:dLbl>
              <c:idx val="1"/>
              <c:layout>
                <c:manualLayout>
                  <c:x val="-1.4834907311004128E-16"/>
                  <c:y val="-3.121814318417339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217-453C-852F-DCAE10A9B70C}"/>
                </c:ext>
              </c:extLst>
            </c:dLbl>
            <c:dLbl>
              <c:idx val="2"/>
              <c:layout>
                <c:manualLayout>
                  <c:x val="0"/>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217-453C-852F-DCAE10A9B70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نمودارها!$D$16:$H$16</c:f>
              <c:strCache>
                <c:ptCount val="5"/>
                <c:pt idx="0">
                  <c:v>سال 94</c:v>
                </c:pt>
                <c:pt idx="1">
                  <c:v>سال95</c:v>
                </c:pt>
                <c:pt idx="2">
                  <c:v>سال96</c:v>
                </c:pt>
                <c:pt idx="3">
                  <c:v>سال97</c:v>
                </c:pt>
                <c:pt idx="4">
                  <c:v>سال98</c:v>
                </c:pt>
              </c:strCache>
            </c:strRef>
          </c:cat>
          <c:val>
            <c:numRef>
              <c:f>نمودارها!$D$19:$H$19</c:f>
              <c:numCache>
                <c:formatCode>General</c:formatCode>
                <c:ptCount val="5"/>
                <c:pt idx="0">
                  <c:v>29</c:v>
                </c:pt>
                <c:pt idx="1">
                  <c:v>29</c:v>
                </c:pt>
                <c:pt idx="2">
                  <c:v>43</c:v>
                </c:pt>
                <c:pt idx="3">
                  <c:v>43</c:v>
                </c:pt>
                <c:pt idx="4">
                  <c:v>43</c:v>
                </c:pt>
              </c:numCache>
            </c:numRef>
          </c:val>
          <c:extLst>
            <c:ext xmlns:c16="http://schemas.microsoft.com/office/drawing/2014/chart" uri="{C3380CC4-5D6E-409C-BE32-E72D297353CC}">
              <c16:uniqueId val="{00000002-1217-453C-852F-DCAE10A9B70C}"/>
            </c:ext>
          </c:extLst>
        </c:ser>
        <c:dLbls>
          <c:showLegendKey val="0"/>
          <c:showVal val="0"/>
          <c:showCatName val="0"/>
          <c:showSerName val="0"/>
          <c:showPercent val="0"/>
          <c:showBubbleSize val="0"/>
        </c:dLbls>
        <c:gapWidth val="219"/>
        <c:overlap val="-27"/>
        <c:axId val="992311216"/>
        <c:axId val="992313392"/>
      </c:barChart>
      <c:catAx>
        <c:axId val="992311216"/>
        <c:scaling>
          <c:orientation val="minMax"/>
        </c:scaling>
        <c:delete val="0"/>
        <c:axPos val="b"/>
        <c:numFmt formatCode="General" sourceLinked="1"/>
        <c:majorTickMark val="none"/>
        <c:minorTickMark val="none"/>
        <c:tickLblPos val="nextTo"/>
        <c:spPr>
          <a:solidFill>
            <a:schemeClr val="bg1"/>
          </a:solidFill>
          <a:ln w="38100" cap="flat" cmpd="sng" algn="ctr">
            <a:solidFill>
              <a:schemeClr val="accent1">
                <a:lumMod val="50000"/>
                <a:alpha val="89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992313392"/>
        <c:crosses val="autoZero"/>
        <c:auto val="1"/>
        <c:lblAlgn val="ctr"/>
        <c:lblOffset val="100"/>
        <c:noMultiLvlLbl val="0"/>
      </c:catAx>
      <c:valAx>
        <c:axId val="992313392"/>
        <c:scaling>
          <c:orientation val="minMax"/>
          <c:max val="50"/>
          <c:min val="0"/>
        </c:scaling>
        <c:delete val="0"/>
        <c:axPos val="l"/>
        <c:majorGridlines>
          <c:spPr>
            <a:ln w="9525" cap="flat" cmpd="sng" algn="ctr">
              <a:solidFill>
                <a:srgbClr val="5F9BD7"/>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992311216"/>
        <c:crosses val="autoZero"/>
        <c:crossBetween val="between"/>
        <c:majorUnit val="15"/>
      </c:valAx>
      <c:spPr>
        <a:noFill/>
        <a:ln>
          <a:solidFill>
            <a:schemeClr val="accent1">
              <a:lumMod val="75000"/>
            </a:schemeClr>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5">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927187458375798"/>
          <c:y val="7.9053331751565634E-2"/>
          <c:w val="0.81198001869297953"/>
          <c:h val="0.81294830215750269"/>
        </c:manualLayout>
      </c:layout>
      <c:barChart>
        <c:barDir val="bar"/>
        <c:grouping val="clustered"/>
        <c:varyColors val="0"/>
        <c:ser>
          <c:idx val="0"/>
          <c:order val="0"/>
          <c:tx>
            <c:strRef>
              <c:f>نمودارها!$B$20</c:f>
              <c:strCache>
                <c:ptCount val="1"/>
                <c:pt idx="0">
                  <c:v>تعداد شاغلین شرکتهای تعاونی معدنی فعال</c:v>
                </c:pt>
              </c:strCache>
            </c:strRef>
          </c:tx>
          <c:spPr>
            <a:pattFill prst="dkVert">
              <a:fgClr>
                <a:schemeClr val="accent1"/>
              </a:fgClr>
              <a:bgClr>
                <a:schemeClr val="bg1"/>
              </a:bgClr>
            </a:pattFill>
            <a:ln w="38100">
              <a:solidFill>
                <a:schemeClr val="bg1"/>
              </a:solidFill>
            </a:ln>
            <a:effectLst>
              <a:glow rad="63500">
                <a:schemeClr val="accent5">
                  <a:satMod val="175000"/>
                  <a:alpha val="40000"/>
                </a:schemeClr>
              </a:glow>
            </a:effectLst>
          </c:spPr>
          <c:invertIfNegative val="0"/>
          <c:dPt>
            <c:idx val="0"/>
            <c:invertIfNegative val="0"/>
            <c:bubble3D val="0"/>
            <c:extLst>
              <c:ext xmlns:c16="http://schemas.microsoft.com/office/drawing/2014/chart" uri="{C3380CC4-5D6E-409C-BE32-E72D297353CC}">
                <c16:uniqueId val="{00000000-BC70-4A87-B0E0-679254EE3A5D}"/>
              </c:ext>
            </c:extLst>
          </c:dPt>
          <c:dLbls>
            <c:spPr>
              <a:solidFill>
                <a:schemeClr val="accent1">
                  <a:lumMod val="50000"/>
                </a:schemeClr>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solidFill>
                    <a:latin typeface="IPT Nazanin" panose="00000400000000000000" pitchFamily="2" charset="2"/>
                    <a:ea typeface="+mn-ea"/>
                    <a:cs typeface="+mn-cs"/>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accent1">
                          <a:lumMod val="60000"/>
                          <a:lumOff val="40000"/>
                        </a:schemeClr>
                      </a:solidFill>
                    </a:ln>
                    <a:effectLst/>
                  </c:spPr>
                </c15:leaderLines>
              </c:ext>
            </c:extLst>
          </c:dLbls>
          <c:cat>
            <c:strRef>
              <c:f>نمودارها!$D$16:$H$16</c:f>
              <c:strCache>
                <c:ptCount val="5"/>
                <c:pt idx="0">
                  <c:v>سال 94</c:v>
                </c:pt>
                <c:pt idx="1">
                  <c:v>سال95</c:v>
                </c:pt>
                <c:pt idx="2">
                  <c:v>سال96</c:v>
                </c:pt>
                <c:pt idx="3">
                  <c:v>سال97</c:v>
                </c:pt>
                <c:pt idx="4">
                  <c:v>سال98</c:v>
                </c:pt>
              </c:strCache>
            </c:strRef>
          </c:cat>
          <c:val>
            <c:numRef>
              <c:f>نمودارها!$D$20:$H$20</c:f>
              <c:numCache>
                <c:formatCode>General</c:formatCode>
                <c:ptCount val="5"/>
                <c:pt idx="0">
                  <c:v>100</c:v>
                </c:pt>
                <c:pt idx="1">
                  <c:v>73</c:v>
                </c:pt>
                <c:pt idx="2">
                  <c:v>52</c:v>
                </c:pt>
                <c:pt idx="3">
                  <c:v>59</c:v>
                </c:pt>
                <c:pt idx="4">
                  <c:v>45</c:v>
                </c:pt>
              </c:numCache>
            </c:numRef>
          </c:val>
          <c:extLst>
            <c:ext xmlns:c16="http://schemas.microsoft.com/office/drawing/2014/chart" uri="{C3380CC4-5D6E-409C-BE32-E72D297353CC}">
              <c16:uniqueId val="{00000001-BC70-4A87-B0E0-679254EE3A5D}"/>
            </c:ext>
          </c:extLst>
        </c:ser>
        <c:dLbls>
          <c:showLegendKey val="0"/>
          <c:showVal val="0"/>
          <c:showCatName val="0"/>
          <c:showSerName val="0"/>
          <c:showPercent val="0"/>
          <c:showBubbleSize val="0"/>
        </c:dLbls>
        <c:gapWidth val="269"/>
        <c:overlap val="-20"/>
        <c:axId val="992316656"/>
        <c:axId val="992303056"/>
      </c:barChart>
      <c:catAx>
        <c:axId val="992316656"/>
        <c:scaling>
          <c:orientation val="minMax"/>
        </c:scaling>
        <c:delete val="0"/>
        <c:axPos val="l"/>
        <c:majorGridlines>
          <c:spPr>
            <a:ln w="22225" cap="flat" cmpd="sng" algn="ctr">
              <a:solidFill>
                <a:schemeClr val="accent1">
                  <a:lumMod val="50000"/>
                  <a:alpha val="25000"/>
                </a:schemeClr>
              </a:solidFill>
              <a:prstDash val="dash"/>
              <a:round/>
            </a:ln>
            <a:effectLst/>
          </c:spPr>
        </c:majorGridlines>
        <c:numFmt formatCode="General" sourceLinked="1"/>
        <c:majorTickMark val="none"/>
        <c:minorTickMark val="none"/>
        <c:tickLblPos val="nextTo"/>
        <c:spPr>
          <a:noFill/>
          <a:ln w="3175" cap="flat" cmpd="sng" algn="ctr">
            <a:solidFill>
              <a:schemeClr val="accent1">
                <a:lumMod val="60000"/>
                <a:lumOff val="40000"/>
              </a:schemeClr>
            </a:solidFill>
            <a:round/>
          </a:ln>
          <a:effectLst/>
        </c:spPr>
        <c:txPr>
          <a:bodyPr rot="-60000000" spcFirstLastPara="1" vertOverflow="ellipsis" vert="horz" wrap="square" anchor="ctr" anchorCtr="1"/>
          <a:lstStyle/>
          <a:p>
            <a:pPr>
              <a:defRPr sz="1000" b="0" i="0" u="none" strike="noStrike" kern="1200" cap="all" spc="150" normalizeH="0" baseline="0">
                <a:solidFill>
                  <a:schemeClr val="lt1"/>
                </a:solidFill>
                <a:latin typeface="+mn-lt"/>
                <a:ea typeface="+mn-ea"/>
                <a:cs typeface="B Nazanin" panose="00000400000000000000" pitchFamily="2" charset="-78"/>
              </a:defRPr>
            </a:pPr>
            <a:endParaRPr lang="fa-IR"/>
          </a:p>
        </c:txPr>
        <c:crossAx val="992303056"/>
        <c:crosses val="autoZero"/>
        <c:auto val="1"/>
        <c:lblAlgn val="ctr"/>
        <c:lblOffset val="100"/>
        <c:noMultiLvlLbl val="0"/>
      </c:catAx>
      <c:valAx>
        <c:axId val="992303056"/>
        <c:scaling>
          <c:orientation val="minMax"/>
        </c:scaling>
        <c:delete val="0"/>
        <c:axPos val="b"/>
        <c:majorGridlines>
          <c:spPr>
            <a:ln w="9525" cap="flat" cmpd="sng" algn="ctr">
              <a:solidFill>
                <a:schemeClr val="lt1">
                  <a:alpha val="2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solidFill>
                <a:latin typeface="IPT Nazanin" panose="00000400000000000000" pitchFamily="2" charset="2"/>
                <a:ea typeface="+mn-ea"/>
                <a:cs typeface="+mn-cs"/>
              </a:defRPr>
            </a:pPr>
            <a:endParaRPr lang="fa-IR"/>
          </a:p>
        </c:txPr>
        <c:crossAx val="992316656"/>
        <c:crosses val="autoZero"/>
        <c:crossBetween val="between"/>
      </c:valAx>
      <c:spPr>
        <a:solidFill>
          <a:schemeClr val="bg1"/>
        </a:solidFill>
        <a:ln>
          <a:noFill/>
        </a:ln>
        <a:effectLst/>
      </c:spPr>
    </c:plotArea>
    <c:plotVisOnly val="1"/>
    <c:dispBlanksAs val="gap"/>
    <c:showDLblsOverMax val="0"/>
  </c:chart>
  <c:spPr>
    <a:solidFill>
      <a:schemeClr val="accent1">
        <a:lumMod val="50000"/>
      </a:schemeClr>
    </a:solidFill>
    <a:ln w="9525" cap="flat" cmpd="sng" algn="ctr">
      <a:solidFill>
        <a:schemeClr val="accent1"/>
      </a:solidFill>
      <a:round/>
    </a:ln>
    <a:effectLst>
      <a:glow rad="63500">
        <a:schemeClr val="accent5">
          <a:satMod val="175000"/>
          <a:alpha val="40000"/>
        </a:schemeClr>
      </a:glow>
    </a:effectLst>
  </c:spPr>
  <c:txPr>
    <a:bodyPr/>
    <a:lstStyle/>
    <a:p>
      <a:pPr>
        <a:defRPr/>
      </a:pPr>
      <a:endParaRPr lang="fa-I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w="28575">
          <a:solidFill>
            <a:srgbClr val="6A8ED0"/>
          </a:solidFill>
        </a:ln>
        <a:effectLst/>
        <a:sp3d contourW="28575">
          <a:contourClr>
            <a:srgbClr val="6A8ED0"/>
          </a:contourClr>
        </a:sp3d>
      </c:spPr>
    </c:floor>
    <c:sideWall>
      <c:thickness val="0"/>
      <c:spPr>
        <a:solidFill>
          <a:schemeClr val="accent1">
            <a:lumMod val="20000"/>
            <a:lumOff val="80000"/>
          </a:schemeClr>
        </a:solidFill>
        <a:ln>
          <a:noFill/>
        </a:ln>
        <a:effectLst/>
        <a:sp3d/>
      </c:spPr>
    </c:sideWall>
    <c:backWall>
      <c:thickness val="0"/>
      <c:spPr>
        <a:solidFill>
          <a:schemeClr val="accent1">
            <a:lumMod val="20000"/>
            <a:lumOff val="80000"/>
          </a:schemeClr>
        </a:solidFill>
        <a:ln>
          <a:noFill/>
        </a:ln>
        <a:effectLst/>
        <a:sp3d/>
      </c:spPr>
    </c:backWall>
    <c:plotArea>
      <c:layout>
        <c:manualLayout>
          <c:layoutTarget val="inner"/>
          <c:xMode val="edge"/>
          <c:yMode val="edge"/>
          <c:x val="9.4523044924174029E-2"/>
          <c:y val="0.10155133347520937"/>
          <c:w val="0.87886834356155408"/>
          <c:h val="0.7652837680312049"/>
        </c:manualLayout>
      </c:layout>
      <c:bar3DChart>
        <c:barDir val="col"/>
        <c:grouping val="clustered"/>
        <c:varyColors val="0"/>
        <c:ser>
          <c:idx val="0"/>
          <c:order val="0"/>
          <c:tx>
            <c:strRef>
              <c:f>نمودارها!$B$21</c:f>
              <c:strCache>
                <c:ptCount val="1"/>
                <c:pt idx="0">
                  <c:v>سرمایه شرکت های تعاونی معدنی فعال</c:v>
                </c:pt>
              </c:strCache>
            </c:strRef>
          </c:tx>
          <c:spPr>
            <a:pattFill prst="dkHorz">
              <a:fgClr>
                <a:schemeClr val="accent1">
                  <a:lumMod val="75000"/>
                </a:schemeClr>
              </a:fgClr>
              <a:bgClr>
                <a:schemeClr val="bg1"/>
              </a:bgClr>
            </a:pattFill>
            <a:ln>
              <a:solidFill>
                <a:srgbClr val="FBFBFF"/>
              </a:solidFill>
            </a:ln>
            <a:effectLst/>
            <a:scene3d>
              <a:camera prst="orthographicFront"/>
              <a:lightRig rig="threePt" dir="t"/>
            </a:scene3d>
            <a:sp3d prstMaterial="matte">
              <a:contourClr>
                <a:srgbClr val="FBFBFF"/>
              </a:contourClr>
            </a:sp3d>
          </c:spPr>
          <c:invertIfNegative val="0"/>
          <c:dLbls>
            <c:dLbl>
              <c:idx val="0"/>
              <c:layout>
                <c:manualLayout>
                  <c:x val="2.2280047612074156E-2"/>
                  <c:y val="-3.229599760237583E-2"/>
                </c:manualLayout>
              </c:layout>
              <c:spPr>
                <a:noFill/>
                <a:ln w="9525" cap="flat" cmpd="sng" algn="ctr">
                  <a:noFill/>
                  <a:prstDash val="solid"/>
                  <a:round/>
                  <a:headEnd type="none" w="med" len="med"/>
                  <a:tailEnd type="none" w="med" len="med"/>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29960"/>
                        <a:gd name="adj2" fmla="val 41031"/>
                      </a:avLst>
                    </a:prstGeom>
                    <a:noFill/>
                    <a:ln>
                      <a:noFill/>
                    </a:ln>
                  </c15:spPr>
                </c:ext>
                <c:ext xmlns:c16="http://schemas.microsoft.com/office/drawing/2014/chart" uri="{C3380CC4-5D6E-409C-BE32-E72D297353CC}">
                  <c16:uniqueId val="{00000000-9B26-4795-9F26-D79995321820}"/>
                </c:ext>
              </c:extLst>
            </c:dLbl>
            <c:spPr>
              <a:no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نمودارها!$D$16:$H$16</c:f>
              <c:strCache>
                <c:ptCount val="5"/>
                <c:pt idx="0">
                  <c:v>سال 94</c:v>
                </c:pt>
                <c:pt idx="1">
                  <c:v>سال95</c:v>
                </c:pt>
                <c:pt idx="2">
                  <c:v>سال96</c:v>
                </c:pt>
                <c:pt idx="3">
                  <c:v>سال97</c:v>
                </c:pt>
                <c:pt idx="4">
                  <c:v>سال98</c:v>
                </c:pt>
              </c:strCache>
            </c:strRef>
          </c:cat>
          <c:val>
            <c:numRef>
              <c:f>نمودارها!$D$21:$H$21</c:f>
              <c:numCache>
                <c:formatCode>#,##0</c:formatCode>
                <c:ptCount val="5"/>
                <c:pt idx="0">
                  <c:v>2985</c:v>
                </c:pt>
                <c:pt idx="1">
                  <c:v>2985</c:v>
                </c:pt>
                <c:pt idx="2">
                  <c:v>3265</c:v>
                </c:pt>
                <c:pt idx="3">
                  <c:v>3265</c:v>
                </c:pt>
                <c:pt idx="4">
                  <c:v>3265</c:v>
                </c:pt>
              </c:numCache>
            </c:numRef>
          </c:val>
          <c:shape val="cylinder"/>
          <c:extLst>
            <c:ext xmlns:c16="http://schemas.microsoft.com/office/drawing/2014/chart" uri="{C3380CC4-5D6E-409C-BE32-E72D297353CC}">
              <c16:uniqueId val="{00000001-9B26-4795-9F26-D79995321820}"/>
            </c:ext>
          </c:extLst>
        </c:ser>
        <c:dLbls>
          <c:showLegendKey val="0"/>
          <c:showVal val="0"/>
          <c:showCatName val="0"/>
          <c:showSerName val="0"/>
          <c:showPercent val="0"/>
          <c:showBubbleSize val="0"/>
        </c:dLbls>
        <c:gapWidth val="167"/>
        <c:gapDepth val="100"/>
        <c:shape val="box"/>
        <c:axId val="992303600"/>
        <c:axId val="992306864"/>
        <c:axId val="0"/>
      </c:bar3DChart>
      <c:catAx>
        <c:axId val="9923036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992306864"/>
        <c:crosses val="autoZero"/>
        <c:auto val="1"/>
        <c:lblAlgn val="ctr"/>
        <c:lblOffset val="100"/>
        <c:noMultiLvlLbl val="0"/>
      </c:catAx>
      <c:valAx>
        <c:axId val="992306864"/>
        <c:scaling>
          <c:orientation val="minMax"/>
        </c:scaling>
        <c:delete val="0"/>
        <c:axPos val="l"/>
        <c:majorGridlines>
          <c:spPr>
            <a:ln w="9525" cap="flat" cmpd="sng" algn="ctr">
              <a:solidFill>
                <a:srgbClr val="FBFBFF"/>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Nazanin" panose="00000400000000000000" pitchFamily="2" charset="-78"/>
              </a:defRPr>
            </a:pPr>
            <a:endParaRPr lang="fa-IR"/>
          </a:p>
        </c:txPr>
        <c:crossAx val="992303600"/>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5">
          <a:satMod val="175000"/>
          <a:alpha val="40000"/>
        </a:schemeClr>
      </a:glow>
    </a:effectLst>
  </c:spPr>
  <c:txPr>
    <a:bodyPr/>
    <a:lstStyle/>
    <a:p>
      <a:pPr>
        <a:defRPr/>
      </a:pPr>
      <a:endParaRPr lang="fa-I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93075865516811"/>
          <c:y val="0.15048756096645269"/>
          <c:w val="0.86167770695329748"/>
          <c:h val="0.70136933468491991"/>
        </c:manualLayout>
      </c:layout>
      <c:areaChart>
        <c:grouping val="standard"/>
        <c:varyColors val="0"/>
        <c:ser>
          <c:idx val="0"/>
          <c:order val="0"/>
          <c:tx>
            <c:strRef>
              <c:f>نمودارها!$B$22</c:f>
              <c:strCache>
                <c:ptCount val="1"/>
                <c:pt idx="0">
                  <c:v>ارزش کل سرمایه گذاری معادن در حال بهره برداری</c:v>
                </c:pt>
              </c:strCache>
            </c:strRef>
          </c:tx>
          <c:spPr>
            <a:solidFill>
              <a:schemeClr val="accent1">
                <a:alpha val="55000"/>
              </a:schemeClr>
            </a:solidFill>
            <a:ln w="19050">
              <a:solidFill>
                <a:schemeClr val="accent1">
                  <a:lumMod val="75000"/>
                </a:schemeClr>
              </a:solidFill>
            </a:ln>
            <a:effectLst>
              <a:innerShdw dist="12700" dir="16200000">
                <a:schemeClr val="lt1"/>
              </a:innerShdw>
            </a:effectLst>
          </c:spPr>
          <c:dLbls>
            <c:dLbl>
              <c:idx val="0"/>
              <c:layout>
                <c:manualLayout>
                  <c:x val="-5.1998105499970401E-3"/>
                  <c:y val="-0.2723713408297615"/>
                </c:manualLayout>
              </c:layout>
              <c:spPr>
                <a:solidFill>
                  <a:schemeClr val="accent5">
                    <a:lumMod val="75000"/>
                  </a:schemeClr>
                </a:solidFill>
                <a:ln>
                  <a:noFill/>
                </a:ln>
                <a:effectLst/>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lt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31055"/>
                        <a:gd name="adj2" fmla="val 4249"/>
                      </a:avLst>
                    </a:prstGeom>
                    <a:noFill/>
                    <a:ln>
                      <a:noFill/>
                    </a:ln>
                  </c15:spPr>
                </c:ext>
                <c:ext xmlns:c16="http://schemas.microsoft.com/office/drawing/2014/chart" uri="{C3380CC4-5D6E-409C-BE32-E72D297353CC}">
                  <c16:uniqueId val="{00000000-9C84-4BE0-AA4F-5F839844F6EB}"/>
                </c:ext>
              </c:extLst>
            </c:dLbl>
            <c:dLbl>
              <c:idx val="1"/>
              <c:layout>
                <c:manualLayout>
                  <c:x val="-4.2606516290726815E-2"/>
                  <c:y val="-0.2143482310845925"/>
                </c:manualLayout>
              </c:layout>
              <c:spPr>
                <a:solidFill>
                  <a:srgbClr val="4472C4">
                    <a:lumMod val="75000"/>
                  </a:srgbClr>
                </a:solidFill>
                <a:ln>
                  <a:noFill/>
                </a:ln>
                <a:effectLst/>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lt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7570"/>
                        <a:gd name="adj2" fmla="val 13142"/>
                      </a:avLst>
                    </a:prstGeom>
                    <a:noFill/>
                    <a:ln>
                      <a:noFill/>
                    </a:ln>
                  </c15:spPr>
                </c:ext>
                <c:ext xmlns:c16="http://schemas.microsoft.com/office/drawing/2014/chart" uri="{C3380CC4-5D6E-409C-BE32-E72D297353CC}">
                  <c16:uniqueId val="{00000001-9C84-4BE0-AA4F-5F839844F6EB}"/>
                </c:ext>
              </c:extLst>
            </c:dLbl>
            <c:spPr>
              <a:solidFill>
                <a:srgbClr val="4472C4">
                  <a:lumMod val="75000"/>
                </a:srgbClr>
              </a:solidFill>
              <a:ln>
                <a:noFill/>
              </a:ln>
              <a:effectLst/>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lt1"/>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نمودارها!$D$16:$H$16</c:f>
              <c:strCache>
                <c:ptCount val="5"/>
                <c:pt idx="0">
                  <c:v>سال 94</c:v>
                </c:pt>
                <c:pt idx="1">
                  <c:v>سال95</c:v>
                </c:pt>
                <c:pt idx="2">
                  <c:v>سال96</c:v>
                </c:pt>
                <c:pt idx="3">
                  <c:v>سال97</c:v>
                </c:pt>
                <c:pt idx="4">
                  <c:v>سال98</c:v>
                </c:pt>
              </c:strCache>
            </c:strRef>
          </c:cat>
          <c:val>
            <c:numRef>
              <c:f>نمودارها!$D$22:$H$22</c:f>
              <c:numCache>
                <c:formatCode>#,##0</c:formatCode>
                <c:ptCount val="5"/>
                <c:pt idx="0">
                  <c:v>92323</c:v>
                </c:pt>
                <c:pt idx="1">
                  <c:v>70630</c:v>
                </c:pt>
                <c:pt idx="2" formatCode="General">
                  <c:v>62530</c:v>
                </c:pt>
                <c:pt idx="3" formatCode="General">
                  <c:v>93777</c:v>
                </c:pt>
                <c:pt idx="4" formatCode="General">
                  <c:v>0</c:v>
                </c:pt>
              </c:numCache>
            </c:numRef>
          </c:val>
          <c:extLst>
            <c:ext xmlns:c16="http://schemas.microsoft.com/office/drawing/2014/chart" uri="{C3380CC4-5D6E-409C-BE32-E72D297353CC}">
              <c16:uniqueId val="{00000002-9C84-4BE0-AA4F-5F839844F6EB}"/>
            </c:ext>
          </c:extLst>
        </c:ser>
        <c:dLbls>
          <c:showLegendKey val="0"/>
          <c:showVal val="0"/>
          <c:showCatName val="0"/>
          <c:showSerName val="0"/>
          <c:showPercent val="0"/>
          <c:showBubbleSize val="0"/>
        </c:dLbls>
        <c:axId val="992304144"/>
        <c:axId val="992311760"/>
      </c:areaChart>
      <c:catAx>
        <c:axId val="992304144"/>
        <c:scaling>
          <c:orientation val="minMax"/>
        </c:scaling>
        <c:delete val="0"/>
        <c:axPos val="b"/>
        <c:numFmt formatCode="General" sourceLinked="1"/>
        <c:majorTickMark val="none"/>
        <c:minorTickMark val="none"/>
        <c:tickLblPos val="nextTo"/>
        <c:spPr>
          <a:noFill/>
          <a:ln w="38100" cap="flat" cmpd="sng" algn="ctr">
            <a:solidFill>
              <a:schemeClr val="accent1">
                <a:lumMod val="50000"/>
              </a:schemeClr>
            </a:solidFill>
            <a:round/>
          </a:ln>
          <a:effectLst/>
        </c:spPr>
        <c:txPr>
          <a:bodyPr rot="-60000000" spcFirstLastPara="1" vertOverflow="ellipsis" vert="horz" wrap="square" anchor="ctr" anchorCtr="1"/>
          <a:lstStyle/>
          <a:p>
            <a:pPr>
              <a:defRPr sz="1000" b="0" i="0" u="none" strike="noStrike" kern="1200" cap="all"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992311760"/>
        <c:crosses val="autoZero"/>
        <c:auto val="1"/>
        <c:lblAlgn val="ctr"/>
        <c:lblOffset val="100"/>
        <c:noMultiLvlLbl val="0"/>
      </c:catAx>
      <c:valAx>
        <c:axId val="992311760"/>
        <c:scaling>
          <c:orientation val="minMax"/>
          <c:max val="180000"/>
          <c:min val="0"/>
        </c:scaling>
        <c:delete val="0"/>
        <c:axPos val="l"/>
        <c:majorGridlines>
          <c:spPr>
            <a:ln w="12700" cap="flat" cmpd="thinThick" algn="ctr">
              <a:solidFill>
                <a:schemeClr val="accent1"/>
              </a:solidFill>
              <a:prstDash val="lgDash"/>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75000"/>
                    <a:lumOff val="25000"/>
                  </a:schemeClr>
                </a:solidFill>
                <a:latin typeface="IPT Nazanin" panose="00000400000000000000" pitchFamily="2" charset="2"/>
                <a:ea typeface="+mn-ea"/>
                <a:cs typeface="B Nazanin" panose="00000400000000000000" pitchFamily="2" charset="-78"/>
              </a:defRPr>
            </a:pPr>
            <a:endParaRPr lang="fa-IR"/>
          </a:p>
        </c:txPr>
        <c:crossAx val="992304144"/>
        <c:crosses val="autoZero"/>
        <c:crossBetween val="midCat"/>
        <c:majorUnit val="40000"/>
        <c:minorUnit val="10000"/>
      </c:valAx>
      <c:spPr>
        <a:noFill/>
        <a:ln w="12700">
          <a:solidFill>
            <a:schemeClr val="accent1">
              <a:lumMod val="50000"/>
            </a:schemeClr>
          </a:solidFill>
        </a:ln>
        <a:effectLst/>
      </c:spPr>
    </c:plotArea>
    <c:plotVisOnly val="1"/>
    <c:dispBlanksAs val="gap"/>
    <c:showDLblsOverMax val="0"/>
  </c:chart>
  <c:spPr>
    <a:solidFill>
      <a:schemeClr val="bg1"/>
    </a:solidFill>
    <a:ln w="9525" cap="flat" cmpd="sng" algn="ctr">
      <a:solidFill>
        <a:schemeClr val="dk1">
          <a:lumMod val="25000"/>
          <a:lumOff val="75000"/>
        </a:schemeClr>
      </a:solidFill>
      <a:round/>
    </a:ln>
    <a:effectLst>
      <a:glow rad="63500">
        <a:schemeClr val="accent5">
          <a:satMod val="175000"/>
          <a:alpha val="40000"/>
        </a:schemeClr>
      </a:glow>
    </a:effectLst>
  </c:spPr>
  <c:txPr>
    <a:bodyPr/>
    <a:lstStyle/>
    <a:p>
      <a:pPr>
        <a:defRPr sz="100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3988922225508933E-2"/>
          <c:y val="0.14485231278581936"/>
          <c:w val="0.86228219683630791"/>
          <c:h val="0.62478837779616037"/>
        </c:manualLayout>
      </c:layout>
      <c:lineChart>
        <c:grouping val="standard"/>
        <c:varyColors val="0"/>
        <c:ser>
          <c:idx val="0"/>
          <c:order val="0"/>
          <c:tx>
            <c:strRef>
              <c:f>نمودارها!$B$23</c:f>
              <c:strCache>
                <c:ptCount val="1"/>
                <c:pt idx="0">
                  <c:v>ارزش پرداختی های معادن در حال بهره برداری</c:v>
                </c:pt>
              </c:strCache>
            </c:strRef>
          </c:tx>
          <c:spPr>
            <a:ln w="28575" cap="rnd">
              <a:solidFill>
                <a:srgbClr val="00B0F0"/>
              </a:solidFill>
              <a:round/>
            </a:ln>
            <a:effectLst/>
          </c:spPr>
          <c:marker>
            <c:symbol val="circle"/>
            <c:size val="5"/>
            <c:spPr>
              <a:solidFill>
                <a:schemeClr val="accent1">
                  <a:lumMod val="50000"/>
                </a:schemeClr>
              </a:solidFill>
              <a:ln w="1587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نمودارها!$D$16:$H$16</c:f>
              <c:strCache>
                <c:ptCount val="5"/>
                <c:pt idx="0">
                  <c:v>سال 94</c:v>
                </c:pt>
                <c:pt idx="1">
                  <c:v>سال95</c:v>
                </c:pt>
                <c:pt idx="2">
                  <c:v>سال96</c:v>
                </c:pt>
                <c:pt idx="3">
                  <c:v>سال97</c:v>
                </c:pt>
                <c:pt idx="4">
                  <c:v>سال98</c:v>
                </c:pt>
              </c:strCache>
            </c:strRef>
          </c:cat>
          <c:val>
            <c:numRef>
              <c:f>نمودارها!$D$23:$H$23</c:f>
              <c:numCache>
                <c:formatCode>#,##0</c:formatCode>
                <c:ptCount val="5"/>
                <c:pt idx="0">
                  <c:v>247444</c:v>
                </c:pt>
                <c:pt idx="1">
                  <c:v>192917</c:v>
                </c:pt>
                <c:pt idx="2">
                  <c:v>203902</c:v>
                </c:pt>
                <c:pt idx="3">
                  <c:v>238299</c:v>
                </c:pt>
                <c:pt idx="4" formatCode="General">
                  <c:v>0</c:v>
                </c:pt>
              </c:numCache>
            </c:numRef>
          </c:val>
          <c:smooth val="0"/>
          <c:extLst>
            <c:ext xmlns:c16="http://schemas.microsoft.com/office/drawing/2014/chart" uri="{C3380CC4-5D6E-409C-BE32-E72D297353CC}">
              <c16:uniqueId val="{00000000-85C4-4669-AE66-85B169301B1D}"/>
            </c:ext>
          </c:extLst>
        </c:ser>
        <c:ser>
          <c:idx val="1"/>
          <c:order val="1"/>
          <c:tx>
            <c:strRef>
              <c:f>نمودارها!$B$24</c:f>
              <c:strCache>
                <c:ptCount val="1"/>
                <c:pt idx="0">
                  <c:v>ارزش دریافتی های معادن در حال بهره برداری</c:v>
                </c:pt>
              </c:strCache>
            </c:strRef>
          </c:tx>
          <c:spPr>
            <a:ln w="41275" cap="rnd">
              <a:solidFill>
                <a:schemeClr val="accent5">
                  <a:lumMod val="50000"/>
                  <a:alpha val="99000"/>
                </a:schemeClr>
              </a:solidFill>
              <a:round/>
            </a:ln>
            <a:effectLst/>
          </c:spPr>
          <c:marker>
            <c:symbol val="circle"/>
            <c:size val="7"/>
            <c:spPr>
              <a:solidFill>
                <a:srgbClr val="00B0F0"/>
              </a:solidFill>
              <a:ln w="9525" cmpd="dbl">
                <a:solidFill>
                  <a:schemeClr val="accent5">
                    <a:lumMod val="50000"/>
                  </a:schemeClr>
                </a:solidFill>
                <a:prstDash val="sysDash"/>
              </a:ln>
              <a:effectLst/>
            </c:spPr>
          </c:marker>
          <c:dPt>
            <c:idx val="0"/>
            <c:marker>
              <c:symbol val="circle"/>
              <c:size val="7"/>
              <c:spPr>
                <a:solidFill>
                  <a:srgbClr val="00B0F0"/>
                </a:solidFill>
                <a:ln w="12700" cmpd="dbl">
                  <a:solidFill>
                    <a:schemeClr val="accent5">
                      <a:lumMod val="50000"/>
                    </a:schemeClr>
                  </a:solidFill>
                  <a:prstDash val="sysDash"/>
                </a:ln>
                <a:effectLst/>
              </c:spPr>
            </c:marker>
            <c:bubble3D val="0"/>
            <c:extLst>
              <c:ext xmlns:c16="http://schemas.microsoft.com/office/drawing/2014/chart" uri="{C3380CC4-5D6E-409C-BE32-E72D297353CC}">
                <c16:uniqueId val="{00000001-85C4-4669-AE66-85B169301B1D}"/>
              </c:ext>
            </c:extLst>
          </c:dPt>
          <c:dLbls>
            <c:dLbl>
              <c:idx val="1"/>
              <c:layout>
                <c:manualLayout>
                  <c:x val="-3.6089886287951317E-2"/>
                  <c:y val="-4.35063610856644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5C4-4669-AE66-85B169301B1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نمودارها!$D$16:$H$16</c:f>
              <c:strCache>
                <c:ptCount val="5"/>
                <c:pt idx="0">
                  <c:v>سال 94</c:v>
                </c:pt>
                <c:pt idx="1">
                  <c:v>سال95</c:v>
                </c:pt>
                <c:pt idx="2">
                  <c:v>سال96</c:v>
                </c:pt>
                <c:pt idx="3">
                  <c:v>سال97</c:v>
                </c:pt>
                <c:pt idx="4">
                  <c:v>سال98</c:v>
                </c:pt>
              </c:strCache>
            </c:strRef>
          </c:cat>
          <c:val>
            <c:numRef>
              <c:f>نمودارها!$D$24:$H$24</c:f>
              <c:numCache>
                <c:formatCode>#,##0</c:formatCode>
                <c:ptCount val="5"/>
                <c:pt idx="0">
                  <c:v>670362</c:v>
                </c:pt>
                <c:pt idx="1">
                  <c:v>711385</c:v>
                </c:pt>
                <c:pt idx="2">
                  <c:v>709326</c:v>
                </c:pt>
                <c:pt idx="3">
                  <c:v>840389</c:v>
                </c:pt>
                <c:pt idx="4" formatCode="General">
                  <c:v>0</c:v>
                </c:pt>
              </c:numCache>
            </c:numRef>
          </c:val>
          <c:smooth val="0"/>
          <c:extLst>
            <c:ext xmlns:c16="http://schemas.microsoft.com/office/drawing/2014/chart" uri="{C3380CC4-5D6E-409C-BE32-E72D297353CC}">
              <c16:uniqueId val="{00000003-85C4-4669-AE66-85B169301B1D}"/>
            </c:ext>
          </c:extLst>
        </c:ser>
        <c:dLbls>
          <c:dLblPos val="t"/>
          <c:showLegendKey val="0"/>
          <c:showVal val="1"/>
          <c:showCatName val="0"/>
          <c:showSerName val="0"/>
          <c:showPercent val="0"/>
          <c:showBubbleSize val="0"/>
        </c:dLbls>
        <c:marker val="1"/>
        <c:smooth val="0"/>
        <c:axId val="992310672"/>
        <c:axId val="992305776"/>
      </c:lineChart>
      <c:catAx>
        <c:axId val="992310672"/>
        <c:scaling>
          <c:orientation val="minMax"/>
        </c:scaling>
        <c:delete val="0"/>
        <c:axPos val="b"/>
        <c:numFmt formatCode="General" sourceLinked="1"/>
        <c:majorTickMark val="none"/>
        <c:minorTickMark val="none"/>
        <c:tickLblPos val="nextTo"/>
        <c:spPr>
          <a:noFill/>
          <a:ln w="38100" cap="flat" cmpd="sng" algn="ctr">
            <a:solidFill>
              <a:schemeClr val="accent1">
                <a:lumMod val="50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992305776"/>
        <c:crosses val="autoZero"/>
        <c:auto val="1"/>
        <c:lblAlgn val="ctr"/>
        <c:lblOffset val="100"/>
        <c:noMultiLvlLbl val="0"/>
      </c:catAx>
      <c:valAx>
        <c:axId val="992305776"/>
        <c:scaling>
          <c:orientation val="minMax"/>
        </c:scaling>
        <c:delete val="0"/>
        <c:axPos val="l"/>
        <c:majorGridlines>
          <c:spPr>
            <a:ln w="9525" cap="flat" cmpd="sng" algn="ctr">
              <a:solidFill>
                <a:schemeClr val="accent1">
                  <a:lumMod val="60000"/>
                  <a:lumOff val="40000"/>
                </a:schemeClr>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992310672"/>
        <c:crosses val="autoZero"/>
        <c:crossBetween val="between"/>
      </c:valAx>
      <c:spPr>
        <a:solidFill>
          <a:schemeClr val="bg1"/>
        </a:solidFill>
        <a:ln>
          <a:noFill/>
        </a:ln>
        <a:effectLst/>
      </c:spPr>
    </c:plotArea>
    <c:legend>
      <c:legendPos val="b"/>
      <c:overlay val="1"/>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legend>
    <c:plotVisOnly val="1"/>
    <c:dispBlanksAs val="gap"/>
    <c:showDLblsOverMax val="0"/>
  </c:chart>
  <c:spPr>
    <a:pattFill prst="smCheck">
      <a:fgClr>
        <a:schemeClr val="accent1">
          <a:lumMod val="40000"/>
          <a:lumOff val="60000"/>
        </a:schemeClr>
      </a:fgClr>
      <a:bgClr>
        <a:schemeClr val="bg1"/>
      </a:bgClr>
    </a:pattFill>
    <a:ln w="9525" cap="flat" cmpd="sng" algn="ctr">
      <a:solidFill>
        <a:schemeClr val="tx1">
          <a:lumMod val="15000"/>
          <a:lumOff val="85000"/>
        </a:schemeClr>
      </a:solidFill>
      <a:round/>
    </a:ln>
    <a:effectLst/>
  </c:spPr>
  <c:txPr>
    <a:bodyPr/>
    <a:lstStyle/>
    <a:p>
      <a:pPr>
        <a:defRPr/>
      </a:pPr>
      <a:endParaRPr lang="fa-I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190507436570429"/>
          <c:y val="9.2792588690951402E-2"/>
          <c:w val="0.85476159230096238"/>
          <c:h val="0.80277102335208339"/>
        </c:manualLayout>
      </c:layout>
      <c:barChart>
        <c:barDir val="col"/>
        <c:grouping val="clustered"/>
        <c:varyColors val="0"/>
        <c:ser>
          <c:idx val="0"/>
          <c:order val="0"/>
          <c:tx>
            <c:strRef>
              <c:f>نمودارها!$B$25</c:f>
              <c:strCache>
                <c:ptCount val="1"/>
                <c:pt idx="0">
                  <c:v>جبران خدمات مزد و حقوق بگیران معادن در حال بهره برداری</c:v>
                </c:pt>
              </c:strCache>
            </c:strRef>
          </c:tx>
          <c:spPr>
            <a:gradFill flip="none" rotWithShape="1">
              <a:gsLst>
                <a:gs pos="0">
                  <a:schemeClr val="accent5">
                    <a:lumMod val="5000"/>
                    <a:lumOff val="95000"/>
                  </a:schemeClr>
                </a:gs>
                <a:gs pos="41000">
                  <a:schemeClr val="accent5">
                    <a:lumMod val="45000"/>
                    <a:lumOff val="55000"/>
                  </a:schemeClr>
                </a:gs>
                <a:gs pos="100000">
                  <a:schemeClr val="accent5">
                    <a:lumMod val="75000"/>
                  </a:schemeClr>
                </a:gs>
              </a:gsLst>
              <a:lin ang="5400000" scaled="1"/>
              <a:tileRect/>
            </a:gradFill>
            <a:ln w="38100">
              <a:solidFill>
                <a:schemeClr val="bg1"/>
              </a:solidFill>
            </a:ln>
            <a:effectLst>
              <a:glow rad="63500">
                <a:schemeClr val="accent5">
                  <a:lumMod val="75000"/>
                  <a:alpha val="40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نمودارها!$D$16:$H$16</c:f>
              <c:strCache>
                <c:ptCount val="5"/>
                <c:pt idx="0">
                  <c:v>سال 94</c:v>
                </c:pt>
                <c:pt idx="1">
                  <c:v>سال95</c:v>
                </c:pt>
                <c:pt idx="2">
                  <c:v>سال96</c:v>
                </c:pt>
                <c:pt idx="3">
                  <c:v>سال97</c:v>
                </c:pt>
                <c:pt idx="4">
                  <c:v>سال98</c:v>
                </c:pt>
              </c:strCache>
            </c:strRef>
          </c:cat>
          <c:val>
            <c:numRef>
              <c:f>نمودارها!$D$25:$H$25</c:f>
              <c:numCache>
                <c:formatCode>#,##0</c:formatCode>
                <c:ptCount val="5"/>
                <c:pt idx="0">
                  <c:v>174098</c:v>
                </c:pt>
                <c:pt idx="1">
                  <c:v>169632</c:v>
                </c:pt>
                <c:pt idx="2">
                  <c:v>155822</c:v>
                </c:pt>
                <c:pt idx="3">
                  <c:v>206860</c:v>
                </c:pt>
                <c:pt idx="4" formatCode="General">
                  <c:v>0</c:v>
                </c:pt>
              </c:numCache>
            </c:numRef>
          </c:val>
          <c:extLst>
            <c:ext xmlns:c16="http://schemas.microsoft.com/office/drawing/2014/chart" uri="{C3380CC4-5D6E-409C-BE32-E72D297353CC}">
              <c16:uniqueId val="{00000000-8EDA-4C59-80EE-6994B81C52B3}"/>
            </c:ext>
          </c:extLst>
        </c:ser>
        <c:dLbls>
          <c:dLblPos val="outEnd"/>
          <c:showLegendKey val="0"/>
          <c:showVal val="1"/>
          <c:showCatName val="0"/>
          <c:showSerName val="0"/>
          <c:showPercent val="0"/>
          <c:showBubbleSize val="0"/>
        </c:dLbls>
        <c:gapWidth val="219"/>
        <c:overlap val="-22"/>
        <c:axId val="1052362512"/>
        <c:axId val="1052364144"/>
      </c:barChart>
      <c:catAx>
        <c:axId val="1052362512"/>
        <c:scaling>
          <c:orientation val="minMax"/>
        </c:scaling>
        <c:delete val="0"/>
        <c:axPos val="b"/>
        <c:numFmt formatCode="General" sourceLinked="1"/>
        <c:majorTickMark val="none"/>
        <c:minorTickMark val="none"/>
        <c:tickLblPos val="nextTo"/>
        <c:spPr>
          <a:noFill/>
          <a:ln w="38100" cap="flat" cmpd="sng" algn="ctr">
            <a:solidFill>
              <a:schemeClr val="accent5">
                <a:lumMod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052364144"/>
        <c:crosses val="autoZero"/>
        <c:auto val="1"/>
        <c:lblAlgn val="ctr"/>
        <c:lblOffset val="100"/>
        <c:noMultiLvlLbl val="0"/>
      </c:catAx>
      <c:valAx>
        <c:axId val="1052364144"/>
        <c:scaling>
          <c:orientation val="minMax"/>
        </c:scaling>
        <c:delete val="0"/>
        <c:axPos val="l"/>
        <c:majorGridlines>
          <c:spPr>
            <a:ln>
              <a:solidFill>
                <a:schemeClr val="accent1"/>
              </a:solidFill>
              <a:prstDash val="dash"/>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052362512"/>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5">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solidFill>
          <a:schemeClr val="accent1">
            <a:alpha val="27000"/>
          </a:schemeClr>
        </a:solidFill>
        <a:ln>
          <a:solidFill>
            <a:schemeClr val="accent1">
              <a:lumMod val="50000"/>
            </a:schemeClr>
          </a:solidFill>
        </a:ln>
        <a:effectLst/>
        <a:sp3d>
          <a:contourClr>
            <a:schemeClr val="accent1">
              <a:lumMod val="50000"/>
            </a:schemeClr>
          </a:contourClr>
        </a:sp3d>
      </c:spPr>
    </c:floor>
    <c:sideWall>
      <c:thickness val="0"/>
      <c:spPr>
        <a:noFill/>
        <a:ln>
          <a:noFill/>
        </a:ln>
        <a:effectLst/>
        <a:sp3d/>
      </c:spPr>
    </c:sideWall>
    <c:backWall>
      <c:thickness val="0"/>
      <c:spPr>
        <a:noFill/>
        <a:ln>
          <a:solidFill>
            <a:srgbClr val="FBFBFF"/>
          </a:solidFill>
        </a:ln>
        <a:effectLst/>
        <a:sp3d>
          <a:contourClr>
            <a:srgbClr val="FBFBFF"/>
          </a:contourClr>
        </a:sp3d>
      </c:spPr>
    </c:backWall>
    <c:plotArea>
      <c:layout/>
      <c:bar3DChart>
        <c:barDir val="col"/>
        <c:grouping val="clustered"/>
        <c:varyColors val="0"/>
        <c:ser>
          <c:idx val="0"/>
          <c:order val="0"/>
          <c:tx>
            <c:strRef>
              <c:f>نمودارها!$B$26</c:f>
              <c:strCache>
                <c:ptCount val="1"/>
                <c:pt idx="0">
                  <c:v>تعداد شاغلین معادن در حال بهره برداری</c:v>
                </c:pt>
              </c:strCache>
            </c:strRef>
          </c:tx>
          <c:spPr>
            <a:solidFill>
              <a:schemeClr val="accent1"/>
            </a:solidFill>
            <a:ln>
              <a:solidFill>
                <a:schemeClr val="accent1">
                  <a:lumMod val="75000"/>
                </a:schemeClr>
              </a:solidFill>
            </a:ln>
            <a:effectLst/>
            <a:scene3d>
              <a:camera prst="orthographicFront"/>
              <a:lightRig rig="threePt" dir="t"/>
            </a:scene3d>
            <a:sp3d prstMaterial="translucentPowder">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70" b="0" i="0" u="none" strike="noStrike" kern="1200" baseline="0">
                    <a:solidFill>
                      <a:schemeClr val="tx1">
                        <a:lumMod val="50000"/>
                        <a:lumOff val="50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نمودارها!$D$16:$H$16</c:f>
              <c:strCache>
                <c:ptCount val="5"/>
                <c:pt idx="0">
                  <c:v>سال 94</c:v>
                </c:pt>
                <c:pt idx="1">
                  <c:v>سال95</c:v>
                </c:pt>
                <c:pt idx="2">
                  <c:v>سال96</c:v>
                </c:pt>
                <c:pt idx="3">
                  <c:v>سال97</c:v>
                </c:pt>
                <c:pt idx="4">
                  <c:v>سال98</c:v>
                </c:pt>
              </c:strCache>
            </c:strRef>
          </c:cat>
          <c:val>
            <c:numRef>
              <c:f>نمودارها!$D$26:$H$26</c:f>
              <c:numCache>
                <c:formatCode>General</c:formatCode>
                <c:ptCount val="5"/>
                <c:pt idx="0">
                  <c:v>830</c:v>
                </c:pt>
                <c:pt idx="1">
                  <c:v>723</c:v>
                </c:pt>
                <c:pt idx="2" formatCode="#,##0">
                  <c:v>635</c:v>
                </c:pt>
                <c:pt idx="3" formatCode="#,##0">
                  <c:v>633</c:v>
                </c:pt>
                <c:pt idx="4">
                  <c:v>0</c:v>
                </c:pt>
              </c:numCache>
            </c:numRef>
          </c:val>
          <c:extLst>
            <c:ext xmlns:c16="http://schemas.microsoft.com/office/drawing/2014/chart" uri="{C3380CC4-5D6E-409C-BE32-E72D297353CC}">
              <c16:uniqueId val="{00000000-00C4-44A5-9A4A-64189BE5AA9C}"/>
            </c:ext>
          </c:extLst>
        </c:ser>
        <c:dLbls>
          <c:showLegendKey val="0"/>
          <c:showVal val="1"/>
          <c:showCatName val="0"/>
          <c:showSerName val="0"/>
          <c:showPercent val="0"/>
          <c:showBubbleSize val="0"/>
        </c:dLbls>
        <c:gapWidth val="150"/>
        <c:shape val="box"/>
        <c:axId val="1052361424"/>
        <c:axId val="1052364688"/>
        <c:axId val="0"/>
      </c:bar3DChart>
      <c:catAx>
        <c:axId val="10523614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50000"/>
                    <a:lumOff val="50000"/>
                  </a:schemeClr>
                </a:solidFill>
                <a:latin typeface="IPT Nazanin" panose="00000400000000000000" pitchFamily="2" charset="2"/>
                <a:ea typeface="+mn-ea"/>
                <a:cs typeface="B Nazanin" panose="00000400000000000000" pitchFamily="2" charset="-78"/>
              </a:defRPr>
            </a:pPr>
            <a:endParaRPr lang="fa-IR"/>
          </a:p>
        </c:txPr>
        <c:crossAx val="1052364688"/>
        <c:crosses val="autoZero"/>
        <c:auto val="1"/>
        <c:lblAlgn val="ctr"/>
        <c:lblOffset val="100"/>
        <c:noMultiLvlLbl val="0"/>
      </c:catAx>
      <c:valAx>
        <c:axId val="1052364688"/>
        <c:scaling>
          <c:orientation val="minMax"/>
        </c:scaling>
        <c:delete val="0"/>
        <c:axPos val="l"/>
        <c:majorGridlines>
          <c:spPr>
            <a:ln w="12700" cap="flat" cmpd="sng" algn="ctr">
              <a:solidFill>
                <a:schemeClr val="accent5">
                  <a:lumMod val="20000"/>
                  <a:lumOff val="8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70" b="0" i="0" u="none" strike="noStrike" kern="1200" baseline="0">
                <a:solidFill>
                  <a:schemeClr val="tx1">
                    <a:lumMod val="50000"/>
                    <a:lumOff val="50000"/>
                  </a:schemeClr>
                </a:solidFill>
                <a:latin typeface="IPT Nazanin" panose="00000400000000000000" pitchFamily="2" charset="2"/>
                <a:ea typeface="+mn-ea"/>
                <a:cs typeface="B Nazanin" panose="00000400000000000000" pitchFamily="2" charset="-78"/>
              </a:defRPr>
            </a:pPr>
            <a:endParaRPr lang="fa-IR"/>
          </a:p>
        </c:txPr>
        <c:crossAx val="1052361424"/>
        <c:crosses val="autoZero"/>
        <c:crossBetween val="between"/>
        <c:majorUnit val="200"/>
      </c:valAx>
      <c:spPr>
        <a:solidFill>
          <a:schemeClr val="bg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5">
          <a:satMod val="175000"/>
          <a:alpha val="40000"/>
        </a:schemeClr>
      </a:glow>
    </a:effectLst>
  </c:spPr>
  <c:txPr>
    <a:bodyPr/>
    <a:lstStyle/>
    <a:p>
      <a:pPr>
        <a:defRPr sz="970"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78">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defRPr sz="900" b="0" kern="1200" cap="all" spc="120" normalizeH="0" baseline="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tx1"/>
    </cs:fontRef>
    <cs:spPr>
      <a:pattFill prst="ltUpDiag">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styleClr val="auto"/>
    </cs:effectRef>
    <cs:fontRef idx="minor">
      <a:schemeClr val="tx1"/>
    </cs:fontRef>
    <cs:spPr>
      <a:pattFill prst="ltUpDiag">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tx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solidFill>
        <a:schemeClr val="lt1"/>
      </a:solidFill>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solidFill>
        <a:schemeClr val="lt1"/>
      </a:solidFill>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6">
  <cs:axisTitle>
    <cs:lnRef idx="0"/>
    <cs:fillRef idx="0"/>
    <cs:effectRef idx="0"/>
    <cs:fontRef idx="minor">
      <a:schemeClr val="lt1"/>
    </cs:fontRef>
    <cs:defRPr sz="900" b="1" kern="1200"/>
  </cs:axisTitle>
  <cs:categoryAxis>
    <cs:lnRef idx="0">
      <cs:styleClr val="0"/>
    </cs:lnRef>
    <cs:fillRef idx="0"/>
    <cs:effectRef idx="0"/>
    <cs:fontRef idx="minor">
      <a:schemeClr val="lt1"/>
    </cs:fontRef>
    <cs:spPr>
      <a:ln w="3175" cap="flat" cmpd="sng" algn="ctr">
        <a:solidFill>
          <a:schemeClr val="phClr">
            <a:lumMod val="60000"/>
            <a:lumOff val="40000"/>
          </a:schemeClr>
        </a:solidFill>
        <a:round/>
      </a:ln>
    </cs:spPr>
    <cs:defRPr sz="800" kern="1200" cap="all" spc="150" normalizeH="0" baseline="0"/>
  </cs:categoryAxis>
  <cs:chartArea>
    <cs:lnRef idx="0">
      <cs:styleClr val="0"/>
    </cs:lnRef>
    <cs:fillRef idx="0">
      <cs:styleClr val="0"/>
    </cs:fillRef>
    <cs:effectRef idx="0"/>
    <cs:fontRef idx="minor">
      <a:schemeClr val="dk1"/>
    </cs:fontRef>
    <cs:spPr>
      <a:solidFill>
        <a:schemeClr val="phClr"/>
      </a:solidFill>
      <a:ln w="9525" cap="flat" cmpd="sng" algn="ctr">
        <a:solidFill>
          <a:schemeClr val="phClr"/>
        </a:solidFill>
        <a:round/>
      </a:ln>
    </cs:spPr>
    <cs:defRPr sz="1000" kern="1200"/>
  </cs:chartArea>
  <cs:dataLabel>
    <cs:lnRef idx="0"/>
    <cs:fillRef idx="0">
      <cs:styleClr val="auto"/>
    </cs:fillRef>
    <cs:effectRef idx="0"/>
    <cs:fontRef idx="minor">
      <a:schemeClr val="lt1"/>
    </cs:fontRef>
    <cs:spPr>
      <a:solidFill>
        <a:schemeClr val="phClr">
          <a:alpha val="70000"/>
        </a:schemeClr>
      </a:solidFill>
    </cs:spPr>
    <cs:defRPr sz="900" kern="1200"/>
  </cs:dataLabel>
  <cs:dataLabelCallout>
    <cs:lnRef idx="0">
      <cs:styleClr val="auto"/>
    </cs:lnRef>
    <cs:fillRef idx="0"/>
    <cs:effectRef idx="0"/>
    <cs:fontRef idx="minor">
      <cs:styleClr val="auto"/>
    </cs:fontRef>
    <cs:spPr>
      <a:solidFill>
        <a:schemeClr val="lt1"/>
      </a:solidFill>
      <a:ln>
        <a:solidFill>
          <a:schemeClr val="ph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pattFill prst="ltUpDiag">
        <a:fgClr>
          <a:schemeClr val="phClr"/>
        </a:fgClr>
        <a:bgClr>
          <a:schemeClr val="lt1"/>
        </a:bgClr>
      </a:pattFill>
    </cs:spPr>
  </cs:dataPoint>
  <cs:dataPoint3D>
    <cs:lnRef idx="0"/>
    <cs:fillRef idx="0">
      <cs:styleClr val="auto"/>
    </cs:fillRef>
    <cs:effectRef idx="0"/>
    <cs:fontRef idx="minor">
      <a:schemeClr val="dk1"/>
    </cs:fontRef>
    <cs:spPr>
      <a:pattFill prst="ltUpDiag">
        <a:fgClr>
          <a:schemeClr val="phClr"/>
        </a:fgClr>
        <a:bgClr>
          <a:schemeClr val="lt1"/>
        </a:bgClr>
      </a:pattFill>
    </cs:spPr>
  </cs:dataPoint3D>
  <cs:dataPointLine>
    <cs:lnRef idx="0">
      <cs:styleClr val="auto"/>
    </cs:lnRef>
    <cs:fillRef idx="0"/>
    <cs:effectRef idx="0">
      <cs:styleClr val="auto"/>
    </cs:effectRef>
    <cs:fontRef idx="minor">
      <a:schemeClr val="dk1"/>
    </cs:fontRef>
    <cs:spPr>
      <a:ln w="34925" cap="rnd">
        <a:solidFill>
          <a:schemeClr val="lt1"/>
        </a:solidFill>
        <a:round/>
      </a:ln>
      <a:effectLst>
        <a:outerShdw dist="25400" dir="2700000" algn="tl" rotWithShape="0">
          <a:schemeClr val="phClr"/>
        </a:outerShdw>
      </a:effectLst>
    </cs:spPr>
  </cs:dataPointLine>
  <cs:dataPointMarker>
    <cs:lnRef idx="0"/>
    <cs:fillRef idx="0">
      <cs:styleClr val="auto"/>
    </cs:fillRef>
    <cs:effectRef idx="0"/>
    <cs:fontRef idx="minor">
      <a:schemeClr val="dk1"/>
    </cs:fontRef>
    <cs:spPr>
      <a:solidFill>
        <a:schemeClr val="phClr"/>
      </a:solidFill>
      <a:ln w="22225">
        <a:solidFill>
          <a:schemeClr val="lt1"/>
        </a:solidFill>
        <a:round/>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styleClr val="0"/>
    </cs:lnRef>
    <cs:fillRef idx="0"/>
    <cs:effectRef idx="0"/>
    <cs:fontRef idx="minor">
      <a:schemeClr val="lt1"/>
    </cs:fontRef>
    <cs:spPr>
      <a:ln w="9525">
        <a:solidFill>
          <a:schemeClr val="phClr">
            <a:lumMod val="60000"/>
            <a:lumOff val="40000"/>
          </a:schemeClr>
        </a:solidFill>
      </a:ln>
    </cs:spPr>
    <cs:defRPr sz="900" kern="1200"/>
  </cs:dataTable>
  <cs:downBar>
    <cs:lnRef idx="0">
      <cs:styleClr val="0"/>
    </cs:lnRef>
    <cs:fillRef idx="0"/>
    <cs:effectRef idx="0"/>
    <cs:fontRef idx="minor">
      <a:schemeClr val="dk1"/>
    </cs:fontRef>
    <cs:spPr>
      <a:solidFill>
        <a:schemeClr val="dk1">
          <a:lumMod val="35000"/>
          <a:lumOff val="65000"/>
        </a:schemeClr>
      </a:solidFill>
      <a:ln w="9525">
        <a:solidFill>
          <a:schemeClr val="phClr">
            <a:lumMod val="60000"/>
            <a:lumOff val="40000"/>
          </a:schemeClr>
        </a:solidFill>
      </a:ln>
    </cs:spPr>
  </cs:downBar>
  <cs:dropLine>
    <cs:lnRef idx="0">
      <cs:styleClr val="0"/>
    </cs:lnRef>
    <cs:fillRef idx="0"/>
    <cs:effectRef idx="0"/>
    <cs:fontRef idx="minor">
      <a:schemeClr val="dk1"/>
    </cs:fontRef>
    <cs:spPr>
      <a:ln w="9525">
        <a:solidFill>
          <a:schemeClr val="phClr">
            <a:lumMod val="60000"/>
            <a:lumOff val="40000"/>
          </a:schemeClr>
        </a:solidFill>
        <a:prstDash val="dash"/>
      </a:ln>
    </cs:spPr>
  </cs:dropLine>
  <cs:errorBar>
    <cs:lnRef idx="0">
      <cs:styleClr val="0"/>
    </cs:lnRef>
    <cs:fillRef idx="0"/>
    <cs:effectRef idx="0"/>
    <cs:fontRef idx="minor">
      <a:schemeClr val="dk1"/>
    </cs:fontRef>
    <cs:spPr>
      <a:ln w="9525">
        <a:solidFill>
          <a:schemeClr val="phClr">
            <a:lumMod val="60000"/>
            <a:lumOff val="40000"/>
          </a:schemeClr>
        </a:solidFill>
        <a:round/>
      </a:ln>
      <a:effectLst>
        <a:glow rad="25400">
          <a:schemeClr val="lt1"/>
        </a:glow>
      </a:effectLst>
    </cs:spPr>
  </cs:errorBar>
  <cs:floor>
    <cs:lnRef idx="0"/>
    <cs:fillRef idx="0"/>
    <cs:effectRef idx="0"/>
    <cs:fontRef idx="minor">
      <a:schemeClr val="dk1"/>
    </cs:fontRef>
  </cs:floor>
  <cs:gridlineMajor>
    <cs:lnRef idx="0">
      <cs:styleClr val="0"/>
    </cs:lnRef>
    <cs:fillRef idx="0"/>
    <cs:effectRef idx="0"/>
    <cs:fontRef idx="minor">
      <a:schemeClr val="dk1"/>
    </cs:fontRef>
    <cs:spPr>
      <a:ln w="9525" cap="flat" cmpd="sng" algn="ctr">
        <a:solidFill>
          <a:schemeClr val="lt1">
            <a:alpha val="25000"/>
          </a:schemeClr>
        </a:solidFill>
        <a:round/>
      </a:ln>
    </cs:spPr>
  </cs:gridlineMajor>
  <cs:gridlineMinor>
    <cs:lnRef idx="0">
      <cs:styleClr val="0"/>
    </cs:lnRef>
    <cs:fillRef idx="0"/>
    <cs:effectRef idx="0"/>
    <cs:fontRef idx="minor">
      <a:schemeClr val="dk1"/>
    </cs:fontRef>
    <cs:spPr>
      <a:ln>
        <a:solidFill>
          <a:schemeClr val="lt1">
            <a:alpha val="10000"/>
          </a:schemeClr>
        </a:solidFill>
      </a:ln>
    </cs:spPr>
  </cs:gridlineMinor>
  <cs:hiLoLine>
    <cs:lnRef idx="0">
      <cs:styleClr val="0"/>
    </cs:lnRef>
    <cs:fillRef idx="0"/>
    <cs:effectRef idx="0"/>
    <cs:fontRef idx="minor">
      <a:schemeClr val="dk1"/>
    </cs:fontRef>
    <cs:spPr>
      <a:ln w="9525">
        <a:solidFill>
          <a:schemeClr val="phClr">
            <a:lumMod val="60000"/>
            <a:lumOff val="40000"/>
          </a:schemeClr>
        </a:solidFill>
        <a:prstDash val="dash"/>
      </a:ln>
    </cs:spPr>
  </cs:hiLoLine>
  <cs:leaderLine>
    <cs:lnRef idx="0">
      <cs:styleClr val="0"/>
    </cs:lnRef>
    <cs:fillRef idx="0"/>
    <cs:effectRef idx="0"/>
    <cs:fontRef idx="minor">
      <a:schemeClr val="dk1"/>
    </cs:fontRef>
    <cs:spPr>
      <a:ln w="9525">
        <a:solidFill>
          <a:schemeClr val="phClr">
            <a:lumMod val="60000"/>
            <a:lumOff val="40000"/>
          </a:schemeClr>
        </a:solidFill>
      </a:ln>
    </cs:spPr>
  </cs:leaderLine>
  <cs:legend>
    <cs:lnRef idx="0"/>
    <cs:fillRef idx="0"/>
    <cs:effectRef idx="0"/>
    <cs:fontRef idx="minor">
      <a:schemeClr val="lt1"/>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styleClr val="0"/>
    </cs:lnRef>
    <cs:fillRef idx="0"/>
    <cs:effectRef idx="0"/>
    <cs:fontRef idx="minor">
      <a:schemeClr val="lt1"/>
    </cs:fontRef>
    <cs:spPr>
      <a:ln w="3175" cap="flat" cmpd="sng" algn="ctr">
        <a:solidFill>
          <a:schemeClr val="phClr">
            <a:lumMod val="60000"/>
            <a:lumOff val="40000"/>
          </a:schemeClr>
        </a:solidFill>
        <a:round/>
      </a:ln>
    </cs:spPr>
    <cs:defRPr sz="900" kern="1200"/>
  </cs:seriesAxis>
  <cs:seriesLine>
    <cs:lnRef idx="0">
      <cs:styleClr val="0"/>
    </cs:lnRef>
    <cs:fillRef idx="0"/>
    <cs:effectRef idx="0"/>
    <cs:fontRef idx="minor">
      <a:schemeClr val="dk1"/>
    </cs:fontRef>
    <cs:spPr>
      <a:ln w="9525">
        <a:solidFill>
          <a:schemeClr val="phClr">
            <a:lumMod val="60000"/>
            <a:lumOff val="40000"/>
            <a:tint val="50000"/>
          </a:schemeClr>
        </a:solidFill>
        <a:prstDash val="dash"/>
      </a:ln>
    </cs:spPr>
  </cs:seriesLine>
  <cs:title>
    <cs:lnRef idx="0"/>
    <cs:fillRef idx="0"/>
    <cs:effectRef idx="0"/>
    <cs:fontRef idx="minor">
      <a:schemeClr val="lt1"/>
    </cs:fontRef>
    <cs:defRPr sz="1500" b="1" kern="1200" cap="all" spc="100" normalizeH="0" baseline="0"/>
  </cs:title>
  <cs:trendline>
    <cs:lnRef idx="0"/>
    <cs:fillRef idx="0"/>
    <cs:effectRef idx="0"/>
    <cs:fontRef idx="minor">
      <a:schemeClr val="dk1"/>
    </cs:fontRef>
    <cs:spPr>
      <a:ln w="28575" cap="rnd">
        <a:solidFill>
          <a:schemeClr val="lt1">
            <a:alpha val="50000"/>
          </a:schemeClr>
        </a:solidFill>
        <a:round/>
      </a:ln>
    </cs:spPr>
  </cs:trendline>
  <cs:trendlineLabel>
    <cs:lnRef idx="0"/>
    <cs:fillRef idx="0"/>
    <cs:effectRef idx="0"/>
    <cs:fontRef idx="minor">
      <a:schemeClr val="lt1"/>
    </cs:fontRef>
    <cs:defRPr sz="900" kern="1200"/>
  </cs:trendlineLabel>
  <cs:upBar>
    <cs:lnRef idx="0">
      <cs:styleClr val="0"/>
    </cs:lnRef>
    <cs:fillRef idx="0"/>
    <cs:effectRef idx="0"/>
    <cs:fontRef idx="minor">
      <a:schemeClr val="dk1"/>
    </cs:fontRef>
    <cs:spPr>
      <a:solidFill>
        <a:schemeClr val="lt1">
          <a:lumMod val="95000"/>
        </a:schemeClr>
      </a:solidFill>
      <a:ln w="9525">
        <a:solidFill>
          <a:schemeClr val="phClr">
            <a:lumMod val="60000"/>
            <a:lumOff val="40000"/>
          </a:schemeClr>
        </a:solidFill>
      </a:ln>
    </cs:spPr>
  </cs:upBar>
  <cs:valueAxis>
    <cs:lnRef idx="0"/>
    <cs:fillRef idx="0"/>
    <cs:effectRef idx="0"/>
    <cs:fontRef idx="minor">
      <a:schemeClr val="lt1"/>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79">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65000"/>
        <a:lumOff val="35000"/>
      </a:schemeClr>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
  <cs:dataPoint3D>
    <cs:lnRef idx="0"/>
    <cs:fillRef idx="0">
      <cs:styleClr val="auto"/>
    </cs:fillRef>
    <cs:effectRef idx="0"/>
    <cs:fontRef idx="minor">
      <a:schemeClr val="dk1"/>
    </cs:fontRef>
    <cs:spPr>
      <a:solidFill>
        <a:schemeClr val="phClr">
          <a:alpha val="85000"/>
        </a:schemeClr>
      </a:solidFill>
      <a:effectLst>
        <a:innerShdw dist="12700" dir="16200000">
          <a:schemeClr val="lt1"/>
        </a:inn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92">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50000"/>
        <a:lumOff val="50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solidFill>
      <a:ln>
        <a:solidFill>
          <a:schemeClr val="phClr">
            <a:lumMod val="75000"/>
          </a:schemeClr>
        </a:solidFill>
      </a:ln>
    </cs:spPr>
  </cs:dataPoint>
  <cs:dataPoint3D>
    <cs:lnRef idx="0">
      <cs:styleClr val="auto"/>
    </cs:lnRef>
    <cs:fillRef idx="0">
      <cs:styleClr val="auto"/>
    </cs:fillRef>
    <cs:effectRef idx="0"/>
    <cs:fontRef idx="minor">
      <a:schemeClr val="tx1"/>
    </cs:fontRef>
    <cs:spPr>
      <a:solidFill>
        <a:schemeClr val="phClr"/>
      </a:solidFill>
      <a:ln>
        <a:solidFill>
          <a:schemeClr val="phClr">
            <a:lumMod val="75000"/>
          </a:schemeClr>
        </a:solidFill>
      </a:ln>
      <a:scene3d>
        <a:camera prst="orthographicFront"/>
        <a:lightRig rig="threePt" dir="t"/>
      </a:scene3d>
      <a:sp3d prstMaterial="translucentPowder"/>
    </cs:spPr>
  </cs:dataPoint3D>
  <cs:dataPointLine>
    <cs:lnRef idx="0">
      <cs:styleClr val="auto"/>
    </cs:lnRef>
    <cs:fillRef idx="0"/>
    <cs:effectRef idx="0"/>
    <cs:fontRef idx="minor">
      <a:schemeClr val="tx1"/>
    </cs:fontRef>
    <cs:spPr>
      <a:ln w="28575" cap="rnd">
        <a:solidFill>
          <a:schemeClr val="phClr">
            <a:alpha val="70000"/>
          </a:schemeClr>
        </a:solidFill>
        <a:round/>
      </a:ln>
    </cs:spPr>
  </cs:dataPointLine>
  <cs:dataPointMarker>
    <cs:lnRef idx="0">
      <cs:styleClr val="auto"/>
    </cs:lnRef>
    <cs:fillRef idx="0">
      <cs:styleClr val="auto"/>
    </cs:fillRef>
    <cs:effectRef idx="0"/>
    <cs:fontRef idx="minor">
      <a:schemeClr val="dk1"/>
    </cs:fontRef>
    <cs:spPr>
      <a:solidFill>
        <a:schemeClr val="phClr">
          <a:alpha val="70000"/>
        </a:schemeClr>
      </a:solidFill>
      <a:ln>
        <a:solidFill>
          <a:schemeClr val="phClr">
            <a:lumMod val="75000"/>
          </a:schemeClr>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tx1"/>
    </cs:fontRef>
    <cs:spPr>
      <a:solidFill>
        <a:schemeClr val="lt1">
          <a:alpha val="27000"/>
        </a:schemeClr>
      </a:solidFill>
      <a:sp3d/>
    </cs:spPr>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50000"/>
        <a:lumOff val="50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0" kern="1200" cap="none" spc="5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tx1"/>
    </cs:fontRef>
    <cs:spPr>
      <a:sp3d/>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6</cp:revision>
  <dcterms:created xsi:type="dcterms:W3CDTF">2021-07-26T16:34:00Z</dcterms:created>
  <dcterms:modified xsi:type="dcterms:W3CDTF">2021-07-27T06:14:00Z</dcterms:modified>
</cp:coreProperties>
</file>